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16D32">
      <w:pPr>
        <w:spacing w:before="156" w:beforeLines="50" w:line="500" w:lineRule="exact"/>
        <w:jc w:val="center"/>
        <w:rPr>
          <w:rStyle w:val="149"/>
          <w:rFonts w:ascii="宋体" w:hAnsi="宋体" w:cs="宋体"/>
          <w:sz w:val="56"/>
          <w:szCs w:val="36"/>
        </w:rPr>
      </w:pPr>
    </w:p>
    <w:tbl>
      <w:tblPr>
        <w:tblStyle w:val="49"/>
        <w:tblpPr w:leftFromText="180" w:rightFromText="180" w:vertAnchor="text" w:horzAnchor="page" w:tblpXSpec="center" w:tblpY="9033"/>
        <w:tblOverlap w:val="never"/>
        <w:tblW w:w="8223" w:type="dxa"/>
        <w:jc w:val="center"/>
        <w:tblLayout w:type="fixed"/>
        <w:tblCellMar>
          <w:top w:w="0" w:type="dxa"/>
          <w:left w:w="108" w:type="dxa"/>
          <w:bottom w:w="0" w:type="dxa"/>
          <w:right w:w="108" w:type="dxa"/>
        </w:tblCellMar>
      </w:tblPr>
      <w:tblGrid>
        <w:gridCol w:w="1892"/>
        <w:gridCol w:w="6331"/>
      </w:tblGrid>
      <w:tr w14:paraId="14E80726">
        <w:tblPrEx>
          <w:tblCellMar>
            <w:top w:w="0" w:type="dxa"/>
            <w:left w:w="108" w:type="dxa"/>
            <w:bottom w:w="0" w:type="dxa"/>
            <w:right w:w="108" w:type="dxa"/>
          </w:tblCellMar>
        </w:tblPrEx>
        <w:trPr>
          <w:jc w:val="center"/>
        </w:trPr>
        <w:tc>
          <w:tcPr>
            <w:tcW w:w="1892" w:type="dxa"/>
            <w:tcBorders>
              <w:top w:val="nil"/>
              <w:left w:val="nil"/>
              <w:bottom w:val="nil"/>
              <w:right w:val="nil"/>
            </w:tcBorders>
            <w:vAlign w:val="center"/>
          </w:tcPr>
          <w:p w14:paraId="47A6F2BA">
            <w:pPr>
              <w:autoSpaceDE w:val="0"/>
              <w:autoSpaceDN w:val="0"/>
              <w:adjustRightInd w:val="0"/>
              <w:spacing w:line="360" w:lineRule="auto"/>
              <w:rPr>
                <w:rFonts w:ascii="宋体" w:hAnsi="宋体" w:cs="宋体"/>
                <w:sz w:val="36"/>
                <w:szCs w:val="36"/>
                <w:highlight w:val="white"/>
              </w:rPr>
            </w:pPr>
            <w:r>
              <w:rPr>
                <w:rFonts w:hint="eastAsia" w:ascii="宋体" w:hAnsi="宋体" w:cs="宋体"/>
                <w:sz w:val="36"/>
                <w:szCs w:val="36"/>
                <w:highlight w:val="white"/>
              </w:rPr>
              <w:t>项目名称：</w:t>
            </w:r>
          </w:p>
        </w:tc>
        <w:tc>
          <w:tcPr>
            <w:tcW w:w="6331" w:type="dxa"/>
            <w:tcBorders>
              <w:top w:val="nil"/>
              <w:left w:val="nil"/>
              <w:bottom w:val="nil"/>
              <w:right w:val="nil"/>
            </w:tcBorders>
            <w:vAlign w:val="center"/>
          </w:tcPr>
          <w:p w14:paraId="6ABAA20F">
            <w:pPr>
              <w:autoSpaceDE w:val="0"/>
              <w:autoSpaceDN w:val="0"/>
              <w:adjustRightInd w:val="0"/>
              <w:spacing w:line="360" w:lineRule="auto"/>
              <w:rPr>
                <w:rFonts w:ascii="宋体" w:hAnsi="宋体" w:cs="宋体"/>
                <w:sz w:val="36"/>
                <w:szCs w:val="36"/>
                <w:highlight w:val="white"/>
              </w:rPr>
            </w:pPr>
            <w:r>
              <w:rPr>
                <w:rFonts w:hint="eastAsia" w:ascii="宋体" w:hAnsi="宋体" w:cs="宋体"/>
                <w:sz w:val="36"/>
                <w:szCs w:val="36"/>
                <w:highlight w:val="white"/>
              </w:rPr>
              <w:t>宿迁市宿城区龙河人民医院后勤服务采购项目</w:t>
            </w:r>
          </w:p>
        </w:tc>
      </w:tr>
      <w:tr w14:paraId="5CC3D1C7">
        <w:tblPrEx>
          <w:tblCellMar>
            <w:top w:w="0" w:type="dxa"/>
            <w:left w:w="108" w:type="dxa"/>
            <w:bottom w:w="0" w:type="dxa"/>
            <w:right w:w="108" w:type="dxa"/>
          </w:tblCellMar>
        </w:tblPrEx>
        <w:trPr>
          <w:jc w:val="center"/>
        </w:trPr>
        <w:tc>
          <w:tcPr>
            <w:tcW w:w="1892" w:type="dxa"/>
            <w:tcBorders>
              <w:top w:val="nil"/>
              <w:left w:val="nil"/>
              <w:bottom w:val="nil"/>
              <w:right w:val="nil"/>
            </w:tcBorders>
            <w:shd w:val="clear" w:color="auto" w:fill="auto"/>
            <w:vAlign w:val="center"/>
          </w:tcPr>
          <w:p w14:paraId="2466ED49">
            <w:pPr>
              <w:autoSpaceDE w:val="0"/>
              <w:autoSpaceDN w:val="0"/>
              <w:adjustRightInd w:val="0"/>
              <w:spacing w:line="360" w:lineRule="auto"/>
              <w:rPr>
                <w:rFonts w:ascii="宋体" w:hAnsi="宋体" w:cs="宋体"/>
                <w:sz w:val="36"/>
                <w:szCs w:val="36"/>
                <w:highlight w:val="white"/>
              </w:rPr>
            </w:pPr>
            <w:r>
              <w:rPr>
                <w:rFonts w:hint="eastAsia" w:ascii="宋体" w:hAnsi="宋体" w:cs="宋体"/>
                <w:sz w:val="36"/>
                <w:szCs w:val="36"/>
                <w:highlight w:val="white"/>
              </w:rPr>
              <w:t>采 购 人：</w:t>
            </w:r>
          </w:p>
        </w:tc>
        <w:tc>
          <w:tcPr>
            <w:tcW w:w="6331" w:type="dxa"/>
            <w:tcBorders>
              <w:top w:val="nil"/>
              <w:left w:val="nil"/>
              <w:bottom w:val="nil"/>
              <w:right w:val="nil"/>
            </w:tcBorders>
            <w:shd w:val="clear" w:color="auto" w:fill="auto"/>
            <w:vAlign w:val="center"/>
          </w:tcPr>
          <w:p w14:paraId="1BA9D101">
            <w:pPr>
              <w:autoSpaceDE w:val="0"/>
              <w:autoSpaceDN w:val="0"/>
              <w:adjustRightInd w:val="0"/>
              <w:spacing w:line="360" w:lineRule="auto"/>
              <w:rPr>
                <w:rFonts w:ascii="宋体" w:hAnsi="宋体" w:cs="宋体"/>
                <w:sz w:val="36"/>
                <w:szCs w:val="36"/>
                <w:highlight w:val="white"/>
              </w:rPr>
            </w:pPr>
            <w:r>
              <w:rPr>
                <w:rFonts w:hint="eastAsia" w:ascii="宋体" w:hAnsi="宋体" w:cs="宋体"/>
                <w:sz w:val="36"/>
                <w:szCs w:val="36"/>
                <w:highlight w:val="white"/>
              </w:rPr>
              <w:t>宿迁市宿城区龙河人民医院</w:t>
            </w:r>
          </w:p>
        </w:tc>
      </w:tr>
      <w:tr w14:paraId="7212D367">
        <w:tblPrEx>
          <w:tblCellMar>
            <w:top w:w="0" w:type="dxa"/>
            <w:left w:w="108" w:type="dxa"/>
            <w:bottom w:w="0" w:type="dxa"/>
            <w:right w:w="108" w:type="dxa"/>
          </w:tblCellMar>
        </w:tblPrEx>
        <w:trPr>
          <w:jc w:val="center"/>
        </w:trPr>
        <w:tc>
          <w:tcPr>
            <w:tcW w:w="1892" w:type="dxa"/>
            <w:tcBorders>
              <w:top w:val="nil"/>
              <w:left w:val="nil"/>
              <w:bottom w:val="nil"/>
              <w:right w:val="nil"/>
            </w:tcBorders>
            <w:shd w:val="clear" w:color="auto" w:fill="auto"/>
            <w:vAlign w:val="center"/>
          </w:tcPr>
          <w:p w14:paraId="5F53A4E5">
            <w:pPr>
              <w:autoSpaceDE w:val="0"/>
              <w:autoSpaceDN w:val="0"/>
              <w:adjustRightInd w:val="0"/>
              <w:spacing w:line="360" w:lineRule="auto"/>
              <w:rPr>
                <w:rFonts w:ascii="宋体" w:hAnsi="宋体" w:cs="宋体"/>
                <w:sz w:val="36"/>
                <w:szCs w:val="36"/>
                <w:highlight w:val="white"/>
              </w:rPr>
            </w:pPr>
            <w:r>
              <w:rPr>
                <w:rFonts w:hint="eastAsia" w:ascii="宋体" w:hAnsi="宋体" w:cs="宋体"/>
                <w:sz w:val="36"/>
                <w:szCs w:val="36"/>
                <w:highlight w:val="white"/>
              </w:rPr>
              <w:t xml:space="preserve">代理机构： </w:t>
            </w:r>
          </w:p>
        </w:tc>
        <w:tc>
          <w:tcPr>
            <w:tcW w:w="6331" w:type="dxa"/>
            <w:tcBorders>
              <w:top w:val="nil"/>
              <w:left w:val="nil"/>
              <w:bottom w:val="nil"/>
              <w:right w:val="nil"/>
            </w:tcBorders>
            <w:shd w:val="clear" w:color="auto" w:fill="auto"/>
            <w:vAlign w:val="center"/>
          </w:tcPr>
          <w:p w14:paraId="26E9CAB9">
            <w:pPr>
              <w:autoSpaceDE w:val="0"/>
              <w:autoSpaceDN w:val="0"/>
              <w:adjustRightInd w:val="0"/>
              <w:spacing w:line="360" w:lineRule="auto"/>
              <w:rPr>
                <w:rFonts w:ascii="宋体" w:hAnsi="宋体" w:cs="宋体"/>
                <w:sz w:val="36"/>
                <w:szCs w:val="36"/>
                <w:highlight w:val="green"/>
              </w:rPr>
            </w:pPr>
            <w:r>
              <w:rPr>
                <w:rFonts w:hint="eastAsia" w:ascii="宋体" w:hAnsi="宋体" w:cs="宋体"/>
                <w:sz w:val="36"/>
                <w:szCs w:val="36"/>
                <w:highlight w:val="white"/>
              </w:rPr>
              <w:t>江苏方园项目招标管理有限公司</w:t>
            </w:r>
          </w:p>
        </w:tc>
      </w:tr>
      <w:tr w14:paraId="200B99AA">
        <w:tblPrEx>
          <w:tblCellMar>
            <w:top w:w="0" w:type="dxa"/>
            <w:left w:w="108" w:type="dxa"/>
            <w:bottom w:w="0" w:type="dxa"/>
            <w:right w:w="108" w:type="dxa"/>
          </w:tblCellMar>
        </w:tblPrEx>
        <w:trPr>
          <w:jc w:val="center"/>
        </w:trPr>
        <w:tc>
          <w:tcPr>
            <w:tcW w:w="1892" w:type="dxa"/>
            <w:tcBorders>
              <w:top w:val="nil"/>
              <w:left w:val="nil"/>
              <w:bottom w:val="nil"/>
              <w:right w:val="nil"/>
            </w:tcBorders>
            <w:shd w:val="clear" w:color="auto" w:fill="auto"/>
            <w:vAlign w:val="center"/>
          </w:tcPr>
          <w:p w14:paraId="5744F919">
            <w:pPr>
              <w:autoSpaceDE w:val="0"/>
              <w:autoSpaceDN w:val="0"/>
              <w:adjustRightInd w:val="0"/>
              <w:spacing w:line="360" w:lineRule="auto"/>
              <w:rPr>
                <w:rFonts w:ascii="宋体" w:hAnsi="宋体" w:cs="宋体"/>
                <w:sz w:val="36"/>
                <w:szCs w:val="36"/>
                <w:highlight w:val="white"/>
              </w:rPr>
            </w:pPr>
            <w:r>
              <w:rPr>
                <w:rFonts w:hint="eastAsia" w:ascii="宋体" w:hAnsi="宋体" w:cs="宋体"/>
                <w:sz w:val="36"/>
                <w:szCs w:val="36"/>
                <w:highlight w:val="white"/>
              </w:rPr>
              <w:t>日    期：</w:t>
            </w:r>
          </w:p>
        </w:tc>
        <w:tc>
          <w:tcPr>
            <w:tcW w:w="6331" w:type="dxa"/>
            <w:tcBorders>
              <w:top w:val="nil"/>
              <w:left w:val="nil"/>
              <w:bottom w:val="nil"/>
              <w:right w:val="nil"/>
            </w:tcBorders>
            <w:shd w:val="clear" w:color="auto" w:fill="auto"/>
            <w:vAlign w:val="center"/>
          </w:tcPr>
          <w:p w14:paraId="0C151677">
            <w:pPr>
              <w:autoSpaceDE w:val="0"/>
              <w:autoSpaceDN w:val="0"/>
              <w:adjustRightInd w:val="0"/>
              <w:spacing w:line="360" w:lineRule="auto"/>
              <w:rPr>
                <w:rFonts w:ascii="宋体" w:hAnsi="宋体" w:cs="宋体"/>
                <w:sz w:val="36"/>
                <w:szCs w:val="36"/>
                <w:highlight w:val="green"/>
              </w:rPr>
            </w:pPr>
            <w:r>
              <w:rPr>
                <w:rFonts w:hint="eastAsia" w:ascii="宋体" w:hAnsi="宋体" w:cs="宋体"/>
                <w:color w:val="000000"/>
                <w:sz w:val="36"/>
                <w:szCs w:val="36"/>
                <w:highlight w:val="white"/>
              </w:rPr>
              <w:t>2024年12月</w:t>
            </w:r>
            <w:r>
              <w:rPr>
                <w:rFonts w:ascii="宋体" w:hAnsi="宋体" w:cs="宋体"/>
                <w:color w:val="000000"/>
                <w:sz w:val="36"/>
                <w:szCs w:val="36"/>
                <w:highlight w:val="white"/>
              </w:rPr>
              <w:t>25</w:t>
            </w:r>
            <w:r>
              <w:rPr>
                <w:rFonts w:hint="eastAsia" w:ascii="宋体" w:hAnsi="宋体" w:cs="宋体"/>
                <w:color w:val="000000"/>
                <w:sz w:val="36"/>
                <w:szCs w:val="36"/>
                <w:highlight w:val="white"/>
              </w:rPr>
              <w:t>日</w:t>
            </w:r>
          </w:p>
        </w:tc>
      </w:tr>
    </w:tbl>
    <w:p w14:paraId="7812DEB4">
      <w:pPr>
        <w:pStyle w:val="35"/>
        <w:tabs>
          <w:tab w:val="right" w:leader="dot" w:pos="8834"/>
        </w:tabs>
        <w:jc w:val="center"/>
        <w:rPr>
          <w:rFonts w:ascii="宋体" w:hAnsi="宋体" w:cs="宋体"/>
          <w:color w:val="000000"/>
          <w:sz w:val="82"/>
          <w:szCs w:val="82"/>
        </w:rPr>
      </w:pPr>
    </w:p>
    <w:p w14:paraId="06F69854">
      <w:pPr>
        <w:pStyle w:val="35"/>
        <w:tabs>
          <w:tab w:val="right" w:leader="dot" w:pos="8834"/>
        </w:tabs>
        <w:jc w:val="center"/>
        <w:rPr>
          <w:rFonts w:ascii="宋体" w:hAnsi="宋体" w:cs="宋体"/>
          <w:color w:val="000000"/>
          <w:sz w:val="82"/>
          <w:szCs w:val="82"/>
        </w:rPr>
      </w:pPr>
      <w:r>
        <w:rPr>
          <w:rFonts w:hint="eastAsia" w:ascii="宋体" w:hAnsi="宋体" w:cs="宋体"/>
          <w:color w:val="000000"/>
          <w:sz w:val="82"/>
          <w:szCs w:val="82"/>
        </w:rPr>
        <w:t>竞争性谈判文件</w:t>
      </w:r>
    </w:p>
    <w:p w14:paraId="3D3E8896">
      <w:pPr>
        <w:pStyle w:val="35"/>
        <w:tabs>
          <w:tab w:val="right" w:leader="dot" w:pos="8834"/>
        </w:tabs>
        <w:jc w:val="center"/>
        <w:rPr>
          <w:rFonts w:ascii="宋体" w:hAnsi="宋体" w:cs="宋体"/>
          <w:sz w:val="52"/>
        </w:rPr>
      </w:pPr>
      <w:r>
        <w:rPr>
          <w:rFonts w:hint="eastAsia" w:ascii="宋体" w:hAnsi="宋体" w:cs="宋体"/>
          <w:sz w:val="28"/>
          <w:szCs w:val="28"/>
          <w:highlight w:val="white"/>
        </w:rPr>
        <w:t>项目编号：</w:t>
      </w:r>
      <w:r>
        <w:rPr>
          <w:rFonts w:hint="eastAsia" w:ascii="宋体" w:hAnsi="宋体" w:cs="宋体"/>
          <w:caps w:val="0"/>
          <w:sz w:val="24"/>
          <w:szCs w:val="24"/>
        </w:rPr>
        <w:t>JSZC-321302-JSFY-G2024-0015</w:t>
      </w:r>
      <w:r>
        <w:rPr>
          <w:rFonts w:hint="eastAsia" w:ascii="宋体" w:hAnsi="宋体" w:cs="宋体"/>
          <w:sz w:val="52"/>
        </w:rPr>
        <w:t xml:space="preserve"> </w:t>
      </w:r>
      <w:r>
        <w:rPr>
          <w:rFonts w:hint="eastAsia" w:ascii="宋体" w:hAnsi="宋体" w:cs="宋体"/>
          <w:sz w:val="52"/>
        </w:rPr>
        <w:br w:type="page"/>
      </w:r>
    </w:p>
    <w:p w14:paraId="230AB391"/>
    <w:sdt>
      <w:sdtPr>
        <w:rPr>
          <w:rFonts w:hint="eastAsia" w:ascii="宋体" w:hAnsi="宋体" w:cs="宋体"/>
        </w:rPr>
        <w:id w:val="147457330"/>
        <w15:color w:val="DBDBDB"/>
        <w:docPartObj>
          <w:docPartGallery w:val="Table of Contents"/>
          <w:docPartUnique/>
        </w:docPartObj>
      </w:sdtPr>
      <w:sdtEndPr>
        <w:rPr>
          <w:rFonts w:hint="eastAsia" w:ascii="宋体" w:hAnsi="宋体" w:cs="宋体"/>
          <w:b/>
          <w:highlight w:val="yellow"/>
        </w:rPr>
      </w:sdtEndPr>
      <w:sdtContent>
        <w:p w14:paraId="6C9789AE">
          <w:pPr>
            <w:jc w:val="center"/>
            <w:rPr>
              <w:rFonts w:ascii="宋体" w:hAnsi="宋体" w:cs="宋体"/>
              <w:sz w:val="28"/>
              <w:szCs w:val="36"/>
            </w:rPr>
          </w:pPr>
          <w:r>
            <w:rPr>
              <w:rFonts w:hint="eastAsia" w:ascii="宋体" w:hAnsi="宋体" w:cs="宋体"/>
              <w:sz w:val="28"/>
              <w:szCs w:val="36"/>
            </w:rPr>
            <w:t>目    录</w:t>
          </w:r>
        </w:p>
        <w:p w14:paraId="0C89C768">
          <w:pPr>
            <w:pStyle w:val="35"/>
            <w:tabs>
              <w:tab w:val="right" w:leader="dot" w:pos="9072"/>
            </w:tabs>
          </w:pPr>
          <w:r>
            <w:rPr>
              <w:rFonts w:hint="eastAsia" w:ascii="宋体" w:hAnsi="宋体" w:cs="宋体"/>
              <w:highlight w:val="yellow"/>
            </w:rPr>
            <w:fldChar w:fldCharType="begin"/>
          </w:r>
          <w:r>
            <w:rPr>
              <w:rFonts w:hint="eastAsia" w:ascii="宋体" w:hAnsi="宋体" w:cs="宋体"/>
              <w:highlight w:val="yellow"/>
            </w:rPr>
            <w:instrText xml:space="preserve">TOC \o "1-2" \h \u </w:instrText>
          </w:r>
          <w:r>
            <w:rPr>
              <w:rFonts w:hint="eastAsia" w:ascii="宋体" w:hAnsi="宋体" w:cs="宋体"/>
              <w:highlight w:val="yellow"/>
            </w:rPr>
            <w:fldChar w:fldCharType="separate"/>
          </w:r>
          <w:r>
            <w:fldChar w:fldCharType="begin"/>
          </w:r>
          <w:r>
            <w:instrText xml:space="preserve"> HYPERLINK \l "_Toc21622" </w:instrText>
          </w:r>
          <w:r>
            <w:fldChar w:fldCharType="separate"/>
          </w:r>
          <w:r>
            <w:rPr>
              <w:rFonts w:hint="eastAsia" w:ascii="宋体" w:hAnsi="宋体" w:cs="宋体"/>
              <w:highlight w:val="white"/>
            </w:rPr>
            <w:t>第一部分  竞争性谈判邀请函</w:t>
          </w:r>
          <w:r>
            <w:tab/>
          </w:r>
          <w:r>
            <w:fldChar w:fldCharType="begin"/>
          </w:r>
          <w:r>
            <w:instrText xml:space="preserve"> PAGEREF _Toc21622 \h </w:instrText>
          </w:r>
          <w:r>
            <w:fldChar w:fldCharType="separate"/>
          </w:r>
          <w:r>
            <w:t>1</w:t>
          </w:r>
          <w:r>
            <w:fldChar w:fldCharType="end"/>
          </w:r>
          <w:r>
            <w:fldChar w:fldCharType="end"/>
          </w:r>
        </w:p>
        <w:p w14:paraId="1CB3A98A">
          <w:pPr>
            <w:pStyle w:val="35"/>
            <w:tabs>
              <w:tab w:val="right" w:leader="dot" w:pos="9072"/>
            </w:tabs>
          </w:pPr>
          <w:r>
            <w:fldChar w:fldCharType="begin"/>
          </w:r>
          <w:r>
            <w:instrText xml:space="preserve"> HYPERLINK \l "_Toc30769" </w:instrText>
          </w:r>
          <w:r>
            <w:fldChar w:fldCharType="separate"/>
          </w:r>
          <w:r>
            <w:rPr>
              <w:rFonts w:hint="eastAsia" w:ascii="宋体" w:hAnsi="宋体" w:cs="宋体"/>
              <w:szCs w:val="40"/>
            </w:rPr>
            <w:t>第二部分  供应商须知</w:t>
          </w:r>
          <w:r>
            <w:tab/>
          </w:r>
          <w:r>
            <w:fldChar w:fldCharType="begin"/>
          </w:r>
          <w:r>
            <w:instrText xml:space="preserve"> PAGEREF _Toc30769 \h </w:instrText>
          </w:r>
          <w:r>
            <w:fldChar w:fldCharType="separate"/>
          </w:r>
          <w:r>
            <w:t>4</w:t>
          </w:r>
          <w:r>
            <w:fldChar w:fldCharType="end"/>
          </w:r>
          <w:r>
            <w:fldChar w:fldCharType="end"/>
          </w:r>
        </w:p>
        <w:p w14:paraId="337BD4EC">
          <w:pPr>
            <w:pStyle w:val="41"/>
            <w:tabs>
              <w:tab w:val="right" w:leader="dot" w:pos="9072"/>
            </w:tabs>
          </w:pPr>
          <w:r>
            <w:fldChar w:fldCharType="begin"/>
          </w:r>
          <w:r>
            <w:instrText xml:space="preserve"> HYPERLINK \l "_Toc8902" </w:instrText>
          </w:r>
          <w:r>
            <w:fldChar w:fldCharType="separate"/>
          </w:r>
          <w:r>
            <w:rPr>
              <w:rFonts w:hint="eastAsia" w:ascii="宋体" w:hAnsi="宋体" w:cs="宋体"/>
              <w:bCs/>
            </w:rPr>
            <w:t>一、总    则</w:t>
          </w:r>
          <w:r>
            <w:tab/>
          </w:r>
          <w:r>
            <w:fldChar w:fldCharType="begin"/>
          </w:r>
          <w:r>
            <w:instrText xml:space="preserve"> PAGEREF _Toc8902 \h </w:instrText>
          </w:r>
          <w:r>
            <w:fldChar w:fldCharType="separate"/>
          </w:r>
          <w:r>
            <w:t>4</w:t>
          </w:r>
          <w:r>
            <w:fldChar w:fldCharType="end"/>
          </w:r>
          <w:r>
            <w:fldChar w:fldCharType="end"/>
          </w:r>
        </w:p>
        <w:p w14:paraId="30A427A5">
          <w:pPr>
            <w:pStyle w:val="41"/>
            <w:tabs>
              <w:tab w:val="right" w:leader="dot" w:pos="9072"/>
            </w:tabs>
          </w:pPr>
          <w:r>
            <w:fldChar w:fldCharType="begin"/>
          </w:r>
          <w:r>
            <w:instrText xml:space="preserve"> HYPERLINK \l "_Toc22443" </w:instrText>
          </w:r>
          <w:r>
            <w:fldChar w:fldCharType="separate"/>
          </w:r>
          <w:r>
            <w:rPr>
              <w:rFonts w:hint="eastAsia" w:ascii="宋体" w:hAnsi="宋体" w:cs="宋体"/>
              <w:bCs/>
            </w:rPr>
            <w:t>二、竞争性谈判文件</w:t>
          </w:r>
          <w:r>
            <w:tab/>
          </w:r>
          <w:r>
            <w:fldChar w:fldCharType="begin"/>
          </w:r>
          <w:r>
            <w:instrText xml:space="preserve"> PAGEREF _Toc22443 \h </w:instrText>
          </w:r>
          <w:r>
            <w:fldChar w:fldCharType="separate"/>
          </w:r>
          <w:r>
            <w:t>5</w:t>
          </w:r>
          <w:r>
            <w:fldChar w:fldCharType="end"/>
          </w:r>
          <w:r>
            <w:fldChar w:fldCharType="end"/>
          </w:r>
        </w:p>
        <w:p w14:paraId="2491AA7A">
          <w:pPr>
            <w:pStyle w:val="41"/>
            <w:tabs>
              <w:tab w:val="right" w:leader="dot" w:pos="9072"/>
            </w:tabs>
          </w:pPr>
          <w:r>
            <w:fldChar w:fldCharType="begin"/>
          </w:r>
          <w:r>
            <w:instrText xml:space="preserve"> HYPERLINK \l "_Toc31046" </w:instrText>
          </w:r>
          <w:r>
            <w:fldChar w:fldCharType="separate"/>
          </w:r>
          <w:r>
            <w:rPr>
              <w:rFonts w:hint="eastAsia" w:ascii="宋体" w:hAnsi="宋体" w:cs="宋体"/>
              <w:bCs/>
            </w:rPr>
            <w:t>三、响应文件的编制</w:t>
          </w:r>
          <w:r>
            <w:tab/>
          </w:r>
          <w:r>
            <w:fldChar w:fldCharType="begin"/>
          </w:r>
          <w:r>
            <w:instrText xml:space="preserve"> PAGEREF _Toc31046 \h </w:instrText>
          </w:r>
          <w:r>
            <w:fldChar w:fldCharType="separate"/>
          </w:r>
          <w:r>
            <w:t>6</w:t>
          </w:r>
          <w:r>
            <w:fldChar w:fldCharType="end"/>
          </w:r>
          <w:r>
            <w:fldChar w:fldCharType="end"/>
          </w:r>
        </w:p>
        <w:p w14:paraId="0345D361">
          <w:pPr>
            <w:pStyle w:val="41"/>
            <w:tabs>
              <w:tab w:val="right" w:leader="dot" w:pos="9072"/>
            </w:tabs>
          </w:pPr>
          <w:r>
            <w:fldChar w:fldCharType="begin"/>
          </w:r>
          <w:r>
            <w:instrText xml:space="preserve"> HYPERLINK \l "_Toc30979" </w:instrText>
          </w:r>
          <w:r>
            <w:fldChar w:fldCharType="separate"/>
          </w:r>
          <w:r>
            <w:rPr>
              <w:rFonts w:hint="eastAsia" w:ascii="宋体" w:hAnsi="宋体" w:cs="宋体"/>
              <w:bCs/>
            </w:rPr>
            <w:t>四、响应文件的递交</w:t>
          </w:r>
          <w:r>
            <w:tab/>
          </w:r>
          <w:r>
            <w:fldChar w:fldCharType="begin"/>
          </w:r>
          <w:r>
            <w:instrText xml:space="preserve"> PAGEREF _Toc30979 \h </w:instrText>
          </w:r>
          <w:r>
            <w:fldChar w:fldCharType="separate"/>
          </w:r>
          <w:r>
            <w:t>9</w:t>
          </w:r>
          <w:r>
            <w:fldChar w:fldCharType="end"/>
          </w:r>
          <w:r>
            <w:fldChar w:fldCharType="end"/>
          </w:r>
        </w:p>
        <w:p w14:paraId="28CAE789">
          <w:pPr>
            <w:pStyle w:val="41"/>
            <w:tabs>
              <w:tab w:val="right" w:leader="dot" w:pos="9072"/>
            </w:tabs>
          </w:pPr>
          <w:r>
            <w:fldChar w:fldCharType="begin"/>
          </w:r>
          <w:r>
            <w:instrText xml:space="preserve"> HYPERLINK \l "_Toc7115" </w:instrText>
          </w:r>
          <w:r>
            <w:fldChar w:fldCharType="separate"/>
          </w:r>
          <w:r>
            <w:rPr>
              <w:rFonts w:hint="eastAsia" w:ascii="宋体" w:hAnsi="宋体" w:cs="宋体"/>
              <w:bCs/>
            </w:rPr>
            <w:t>五、无效标、废标条款</w:t>
          </w:r>
          <w:r>
            <w:tab/>
          </w:r>
          <w:r>
            <w:fldChar w:fldCharType="begin"/>
          </w:r>
          <w:r>
            <w:instrText xml:space="preserve"> PAGEREF _Toc7115 \h </w:instrText>
          </w:r>
          <w:r>
            <w:fldChar w:fldCharType="separate"/>
          </w:r>
          <w:r>
            <w:t>9</w:t>
          </w:r>
          <w:r>
            <w:fldChar w:fldCharType="end"/>
          </w:r>
          <w:r>
            <w:fldChar w:fldCharType="end"/>
          </w:r>
        </w:p>
        <w:p w14:paraId="0B214E90">
          <w:pPr>
            <w:pStyle w:val="41"/>
            <w:tabs>
              <w:tab w:val="right" w:leader="dot" w:pos="9072"/>
            </w:tabs>
          </w:pPr>
          <w:r>
            <w:fldChar w:fldCharType="begin"/>
          </w:r>
          <w:r>
            <w:instrText xml:space="preserve"> HYPERLINK \l "_Toc7781" </w:instrText>
          </w:r>
          <w:r>
            <w:fldChar w:fldCharType="separate"/>
          </w:r>
          <w:r>
            <w:rPr>
              <w:rFonts w:hint="eastAsia" w:ascii="宋体" w:hAnsi="宋体" w:cs="宋体"/>
              <w:bCs/>
            </w:rPr>
            <w:t>六、谈判程序及最终报价</w:t>
          </w:r>
          <w:r>
            <w:tab/>
          </w:r>
          <w:r>
            <w:fldChar w:fldCharType="begin"/>
          </w:r>
          <w:r>
            <w:instrText xml:space="preserve"> PAGEREF _Toc7781 \h </w:instrText>
          </w:r>
          <w:r>
            <w:fldChar w:fldCharType="separate"/>
          </w:r>
          <w:r>
            <w:t>11</w:t>
          </w:r>
          <w:r>
            <w:fldChar w:fldCharType="end"/>
          </w:r>
          <w:r>
            <w:fldChar w:fldCharType="end"/>
          </w:r>
        </w:p>
        <w:p w14:paraId="17CFA1FD">
          <w:pPr>
            <w:pStyle w:val="41"/>
            <w:tabs>
              <w:tab w:val="right" w:leader="dot" w:pos="9072"/>
            </w:tabs>
          </w:pPr>
          <w:r>
            <w:fldChar w:fldCharType="begin"/>
          </w:r>
          <w:r>
            <w:instrText xml:space="preserve"> HYPERLINK \l "_Toc8948" </w:instrText>
          </w:r>
          <w:r>
            <w:fldChar w:fldCharType="separate"/>
          </w:r>
          <w:r>
            <w:rPr>
              <w:rFonts w:hint="eastAsia" w:ascii="宋体" w:hAnsi="宋体" w:cs="宋体"/>
              <w:bCs/>
            </w:rPr>
            <w:t>七、成交及合同签订</w:t>
          </w:r>
          <w:r>
            <w:tab/>
          </w:r>
          <w:r>
            <w:fldChar w:fldCharType="begin"/>
          </w:r>
          <w:r>
            <w:instrText xml:space="preserve"> PAGEREF _Toc8948 \h </w:instrText>
          </w:r>
          <w:r>
            <w:fldChar w:fldCharType="separate"/>
          </w:r>
          <w:r>
            <w:t>13</w:t>
          </w:r>
          <w:r>
            <w:fldChar w:fldCharType="end"/>
          </w:r>
          <w:r>
            <w:fldChar w:fldCharType="end"/>
          </w:r>
        </w:p>
        <w:p w14:paraId="138618D1">
          <w:pPr>
            <w:pStyle w:val="41"/>
            <w:tabs>
              <w:tab w:val="right" w:leader="dot" w:pos="9072"/>
            </w:tabs>
          </w:pPr>
          <w:r>
            <w:fldChar w:fldCharType="begin"/>
          </w:r>
          <w:r>
            <w:instrText xml:space="preserve"> HYPERLINK \l "_Toc18596" </w:instrText>
          </w:r>
          <w:r>
            <w:fldChar w:fldCharType="separate"/>
          </w:r>
          <w:r>
            <w:rPr>
              <w:rFonts w:hint="eastAsia" w:ascii="宋体" w:hAnsi="宋体" w:cs="宋体"/>
              <w:bCs/>
            </w:rPr>
            <w:t>八、质疑</w:t>
          </w:r>
          <w:r>
            <w:tab/>
          </w:r>
          <w:r>
            <w:fldChar w:fldCharType="begin"/>
          </w:r>
          <w:r>
            <w:instrText xml:space="preserve"> PAGEREF _Toc18596 \h </w:instrText>
          </w:r>
          <w:r>
            <w:fldChar w:fldCharType="separate"/>
          </w:r>
          <w:r>
            <w:t>15</w:t>
          </w:r>
          <w:r>
            <w:fldChar w:fldCharType="end"/>
          </w:r>
          <w:r>
            <w:fldChar w:fldCharType="end"/>
          </w:r>
        </w:p>
        <w:p w14:paraId="1A72BC5B">
          <w:pPr>
            <w:pStyle w:val="35"/>
            <w:tabs>
              <w:tab w:val="right" w:leader="dot" w:pos="9072"/>
            </w:tabs>
          </w:pPr>
          <w:r>
            <w:fldChar w:fldCharType="begin"/>
          </w:r>
          <w:r>
            <w:instrText xml:space="preserve"> HYPERLINK \l "_Toc29740" </w:instrText>
          </w:r>
          <w:r>
            <w:fldChar w:fldCharType="separate"/>
          </w:r>
          <w:r>
            <w:rPr>
              <w:rFonts w:hint="eastAsia" w:ascii="宋体" w:hAnsi="宋体" w:cs="宋体"/>
              <w:szCs w:val="44"/>
            </w:rPr>
            <w:t>第三部分  评审方法</w:t>
          </w:r>
          <w:r>
            <w:tab/>
          </w:r>
          <w:r>
            <w:fldChar w:fldCharType="begin"/>
          </w:r>
          <w:r>
            <w:instrText xml:space="preserve"> PAGEREF _Toc29740 \h </w:instrText>
          </w:r>
          <w:r>
            <w:fldChar w:fldCharType="separate"/>
          </w:r>
          <w:r>
            <w:t>17</w:t>
          </w:r>
          <w:r>
            <w:fldChar w:fldCharType="end"/>
          </w:r>
          <w:r>
            <w:fldChar w:fldCharType="end"/>
          </w:r>
        </w:p>
        <w:p w14:paraId="3EB0ABE7">
          <w:pPr>
            <w:pStyle w:val="35"/>
            <w:tabs>
              <w:tab w:val="right" w:leader="dot" w:pos="9072"/>
            </w:tabs>
          </w:pPr>
          <w:r>
            <w:fldChar w:fldCharType="begin"/>
          </w:r>
          <w:r>
            <w:instrText xml:space="preserve"> HYPERLINK \l "_Toc14272" </w:instrText>
          </w:r>
          <w:r>
            <w:fldChar w:fldCharType="separate"/>
          </w:r>
          <w:r>
            <w:rPr>
              <w:rFonts w:hint="eastAsia" w:ascii="宋体" w:hAnsi="宋体" w:cs="宋体"/>
              <w:szCs w:val="36"/>
            </w:rPr>
            <w:t>第四部分  采购需求</w:t>
          </w:r>
          <w:r>
            <w:tab/>
          </w:r>
          <w:r>
            <w:fldChar w:fldCharType="begin"/>
          </w:r>
          <w:r>
            <w:instrText xml:space="preserve"> PAGEREF _Toc14272 \h </w:instrText>
          </w:r>
          <w:r>
            <w:fldChar w:fldCharType="separate"/>
          </w:r>
          <w:r>
            <w:t>19</w:t>
          </w:r>
          <w:r>
            <w:fldChar w:fldCharType="end"/>
          </w:r>
          <w:r>
            <w:fldChar w:fldCharType="end"/>
          </w:r>
        </w:p>
        <w:p w14:paraId="1ABF8347">
          <w:pPr>
            <w:pStyle w:val="35"/>
            <w:tabs>
              <w:tab w:val="right" w:leader="dot" w:pos="9072"/>
            </w:tabs>
          </w:pPr>
          <w:r>
            <w:fldChar w:fldCharType="begin"/>
          </w:r>
          <w:r>
            <w:instrText xml:space="preserve"> HYPERLINK \l "_Toc1706" </w:instrText>
          </w:r>
          <w:r>
            <w:fldChar w:fldCharType="separate"/>
          </w:r>
          <w:r>
            <w:rPr>
              <w:rFonts w:hint="eastAsia" w:ascii="宋体" w:hAnsi="宋体" w:cs="宋体"/>
              <w:szCs w:val="32"/>
            </w:rPr>
            <w:t>第五部分  合同格式及条款</w:t>
          </w:r>
          <w:r>
            <w:tab/>
          </w:r>
          <w:r>
            <w:fldChar w:fldCharType="begin"/>
          </w:r>
          <w:r>
            <w:instrText xml:space="preserve"> PAGEREF _Toc1706 \h </w:instrText>
          </w:r>
          <w:r>
            <w:fldChar w:fldCharType="separate"/>
          </w:r>
          <w:r>
            <w:t>34</w:t>
          </w:r>
          <w:r>
            <w:fldChar w:fldCharType="end"/>
          </w:r>
          <w:r>
            <w:fldChar w:fldCharType="end"/>
          </w:r>
        </w:p>
        <w:p w14:paraId="401C03C6">
          <w:pPr>
            <w:pStyle w:val="35"/>
            <w:tabs>
              <w:tab w:val="right" w:leader="dot" w:pos="9072"/>
            </w:tabs>
          </w:pPr>
          <w:r>
            <w:fldChar w:fldCharType="begin"/>
          </w:r>
          <w:r>
            <w:instrText xml:space="preserve"> HYPERLINK \l "_Toc18532" </w:instrText>
          </w:r>
          <w:r>
            <w:fldChar w:fldCharType="separate"/>
          </w:r>
          <w:r>
            <w:rPr>
              <w:rFonts w:hint="eastAsia" w:ascii="宋体" w:hAnsi="宋体" w:cs="宋体"/>
              <w:highlight w:val="white"/>
            </w:rPr>
            <w:t>第六部分  响应文件格式</w:t>
          </w:r>
          <w:r>
            <w:tab/>
          </w:r>
          <w:r>
            <w:fldChar w:fldCharType="begin"/>
          </w:r>
          <w:r>
            <w:instrText xml:space="preserve"> PAGEREF _Toc18532 \h </w:instrText>
          </w:r>
          <w:r>
            <w:fldChar w:fldCharType="separate"/>
          </w:r>
          <w:r>
            <w:t>41</w:t>
          </w:r>
          <w:r>
            <w:fldChar w:fldCharType="end"/>
          </w:r>
          <w:r>
            <w:fldChar w:fldCharType="end"/>
          </w:r>
        </w:p>
        <w:p w14:paraId="0DC999A0">
          <w:pPr>
            <w:pStyle w:val="41"/>
            <w:tabs>
              <w:tab w:val="right" w:leader="dot" w:pos="9072"/>
            </w:tabs>
          </w:pPr>
          <w:r>
            <w:fldChar w:fldCharType="begin"/>
          </w:r>
          <w:r>
            <w:instrText xml:space="preserve"> HYPERLINK \l "_Toc17792" </w:instrText>
          </w:r>
          <w:r>
            <w:fldChar w:fldCharType="separate"/>
          </w:r>
          <w:r>
            <w:rPr>
              <w:rFonts w:hint="eastAsia" w:ascii="宋体" w:hAnsi="宋体" w:cs="宋体"/>
            </w:rPr>
            <w:t>目    录</w:t>
          </w:r>
          <w:r>
            <w:tab/>
          </w:r>
          <w:r>
            <w:fldChar w:fldCharType="begin"/>
          </w:r>
          <w:r>
            <w:instrText xml:space="preserve"> PAGEREF _Toc17792 \h </w:instrText>
          </w:r>
          <w:r>
            <w:fldChar w:fldCharType="separate"/>
          </w:r>
          <w:r>
            <w:t>42</w:t>
          </w:r>
          <w:r>
            <w:fldChar w:fldCharType="end"/>
          </w:r>
          <w:r>
            <w:fldChar w:fldCharType="end"/>
          </w:r>
        </w:p>
        <w:p w14:paraId="0A1748AC">
          <w:pPr>
            <w:pStyle w:val="41"/>
            <w:tabs>
              <w:tab w:val="right" w:leader="dot" w:pos="9072"/>
            </w:tabs>
          </w:pPr>
          <w:r>
            <w:fldChar w:fldCharType="begin"/>
          </w:r>
          <w:r>
            <w:instrText xml:space="preserve"> HYPERLINK \l "_Toc24129" </w:instrText>
          </w:r>
          <w:r>
            <w:fldChar w:fldCharType="separate"/>
          </w:r>
          <w:r>
            <w:rPr>
              <w:rFonts w:hint="eastAsia" w:ascii="宋体" w:hAnsi="宋体" w:cs="宋体"/>
              <w:bCs/>
              <w:szCs w:val="32"/>
            </w:rPr>
            <w:t>一、响应声明及承诺函</w:t>
          </w:r>
          <w:r>
            <w:tab/>
          </w:r>
          <w:r>
            <w:fldChar w:fldCharType="begin"/>
          </w:r>
          <w:r>
            <w:instrText xml:space="preserve"> PAGEREF _Toc24129 \h </w:instrText>
          </w:r>
          <w:r>
            <w:fldChar w:fldCharType="separate"/>
          </w:r>
          <w:r>
            <w:t>43</w:t>
          </w:r>
          <w:r>
            <w:fldChar w:fldCharType="end"/>
          </w:r>
          <w:r>
            <w:fldChar w:fldCharType="end"/>
          </w:r>
        </w:p>
        <w:p w14:paraId="3A4BB524">
          <w:pPr>
            <w:pStyle w:val="41"/>
            <w:tabs>
              <w:tab w:val="right" w:leader="dot" w:pos="9072"/>
            </w:tabs>
          </w:pPr>
          <w:r>
            <w:fldChar w:fldCharType="begin"/>
          </w:r>
          <w:r>
            <w:instrText xml:space="preserve"> HYPERLINK \l "_Toc7919" </w:instrText>
          </w:r>
          <w:r>
            <w:fldChar w:fldCharType="separate"/>
          </w:r>
          <w:r>
            <w:rPr>
              <w:rFonts w:hint="eastAsia" w:ascii="宋体" w:hAnsi="宋体" w:cs="宋体"/>
            </w:rPr>
            <w:t>二、法定代表人授权委托书</w:t>
          </w:r>
          <w:r>
            <w:tab/>
          </w:r>
          <w:r>
            <w:fldChar w:fldCharType="begin"/>
          </w:r>
          <w:r>
            <w:instrText xml:space="preserve"> PAGEREF _Toc7919 \h </w:instrText>
          </w:r>
          <w:r>
            <w:fldChar w:fldCharType="separate"/>
          </w:r>
          <w:r>
            <w:t>44</w:t>
          </w:r>
          <w:r>
            <w:fldChar w:fldCharType="end"/>
          </w:r>
          <w:r>
            <w:fldChar w:fldCharType="end"/>
          </w:r>
        </w:p>
        <w:p w14:paraId="05710AEF">
          <w:pPr>
            <w:pStyle w:val="41"/>
            <w:tabs>
              <w:tab w:val="right" w:leader="dot" w:pos="9072"/>
            </w:tabs>
          </w:pPr>
          <w:r>
            <w:fldChar w:fldCharType="begin"/>
          </w:r>
          <w:r>
            <w:instrText xml:space="preserve"> HYPERLINK \l "_Toc19074" </w:instrText>
          </w:r>
          <w:r>
            <w:fldChar w:fldCharType="separate"/>
          </w:r>
          <w:r>
            <w:rPr>
              <w:rFonts w:hint="eastAsia" w:ascii="宋体" w:hAnsi="宋体" w:cs="宋体"/>
            </w:rPr>
            <w:t>三、供应商基本信息</w:t>
          </w:r>
          <w:r>
            <w:tab/>
          </w:r>
          <w:r>
            <w:fldChar w:fldCharType="begin"/>
          </w:r>
          <w:r>
            <w:instrText xml:space="preserve"> PAGEREF _Toc19074 \h </w:instrText>
          </w:r>
          <w:r>
            <w:fldChar w:fldCharType="separate"/>
          </w:r>
          <w:r>
            <w:t>45</w:t>
          </w:r>
          <w:r>
            <w:fldChar w:fldCharType="end"/>
          </w:r>
          <w:r>
            <w:fldChar w:fldCharType="end"/>
          </w:r>
        </w:p>
        <w:p w14:paraId="5CBD3908">
          <w:pPr>
            <w:pStyle w:val="41"/>
            <w:tabs>
              <w:tab w:val="right" w:leader="dot" w:pos="9072"/>
            </w:tabs>
          </w:pPr>
          <w:r>
            <w:fldChar w:fldCharType="begin"/>
          </w:r>
          <w:r>
            <w:instrText xml:space="preserve"> HYPERLINK \l "_Toc5024" </w:instrText>
          </w:r>
          <w:r>
            <w:fldChar w:fldCharType="separate"/>
          </w:r>
          <w:r>
            <w:rPr>
              <w:rFonts w:hint="eastAsia" w:ascii="宋体" w:hAnsi="宋体" w:cs="宋体"/>
            </w:rPr>
            <w:t>四、报价一览表</w:t>
          </w:r>
          <w:r>
            <w:tab/>
          </w:r>
          <w:r>
            <w:fldChar w:fldCharType="begin"/>
          </w:r>
          <w:r>
            <w:instrText xml:space="preserve"> PAGEREF _Toc5024 \h </w:instrText>
          </w:r>
          <w:r>
            <w:fldChar w:fldCharType="separate"/>
          </w:r>
          <w:r>
            <w:t>46</w:t>
          </w:r>
          <w:r>
            <w:fldChar w:fldCharType="end"/>
          </w:r>
          <w:r>
            <w:fldChar w:fldCharType="end"/>
          </w:r>
        </w:p>
        <w:p w14:paraId="6241C950">
          <w:pPr>
            <w:pStyle w:val="41"/>
            <w:tabs>
              <w:tab w:val="right" w:leader="dot" w:pos="9072"/>
            </w:tabs>
          </w:pPr>
          <w:r>
            <w:fldChar w:fldCharType="begin"/>
          </w:r>
          <w:r>
            <w:instrText xml:space="preserve"> HYPERLINK \l "_Toc22191" </w:instrText>
          </w:r>
          <w:r>
            <w:fldChar w:fldCharType="separate"/>
          </w:r>
          <w:r>
            <w:rPr>
              <w:rFonts w:hint="eastAsia" w:ascii="宋体" w:hAnsi="宋体" w:cs="宋体"/>
              <w:bCs/>
              <w:szCs w:val="36"/>
            </w:rPr>
            <w:t>五、</w:t>
          </w:r>
          <w:r>
            <w:rPr>
              <w:rFonts w:hint="eastAsia" w:ascii="宋体" w:hAnsi="宋体" w:cs="宋体"/>
              <w:bCs/>
            </w:rPr>
            <w:t>明细报价表</w:t>
          </w:r>
          <w:r>
            <w:tab/>
          </w:r>
          <w:r>
            <w:fldChar w:fldCharType="begin"/>
          </w:r>
          <w:r>
            <w:instrText xml:space="preserve"> PAGEREF _Toc22191 \h </w:instrText>
          </w:r>
          <w:r>
            <w:fldChar w:fldCharType="separate"/>
          </w:r>
          <w:r>
            <w:t>47</w:t>
          </w:r>
          <w:r>
            <w:fldChar w:fldCharType="end"/>
          </w:r>
          <w:r>
            <w:fldChar w:fldCharType="end"/>
          </w:r>
        </w:p>
        <w:p w14:paraId="10D4E100">
          <w:pPr>
            <w:pStyle w:val="41"/>
            <w:tabs>
              <w:tab w:val="right" w:leader="dot" w:pos="9072"/>
            </w:tabs>
          </w:pPr>
          <w:r>
            <w:fldChar w:fldCharType="begin"/>
          </w:r>
          <w:r>
            <w:instrText xml:space="preserve"> HYPERLINK \l "_Toc27769" </w:instrText>
          </w:r>
          <w:r>
            <w:fldChar w:fldCharType="separate"/>
          </w:r>
          <w:r>
            <w:rPr>
              <w:rFonts w:hint="eastAsia" w:ascii="宋体" w:hAnsi="宋体" w:cs="宋体"/>
            </w:rPr>
            <w:t>六、项目实施方案</w:t>
          </w:r>
          <w:r>
            <w:tab/>
          </w:r>
          <w:r>
            <w:fldChar w:fldCharType="begin"/>
          </w:r>
          <w:r>
            <w:instrText xml:space="preserve"> PAGEREF _Toc27769 \h </w:instrText>
          </w:r>
          <w:r>
            <w:fldChar w:fldCharType="separate"/>
          </w:r>
          <w:r>
            <w:t>48</w:t>
          </w:r>
          <w:r>
            <w:fldChar w:fldCharType="end"/>
          </w:r>
          <w:r>
            <w:fldChar w:fldCharType="end"/>
          </w:r>
        </w:p>
        <w:p w14:paraId="51C875CB">
          <w:pPr>
            <w:pStyle w:val="41"/>
            <w:tabs>
              <w:tab w:val="right" w:leader="dot" w:pos="9072"/>
            </w:tabs>
          </w:pPr>
          <w:r>
            <w:fldChar w:fldCharType="begin"/>
          </w:r>
          <w:r>
            <w:instrText xml:space="preserve"> HYPERLINK \l "_Toc8107" </w:instrText>
          </w:r>
          <w:r>
            <w:fldChar w:fldCharType="separate"/>
          </w:r>
          <w:r>
            <w:rPr>
              <w:rFonts w:hint="eastAsia" w:ascii="宋体" w:hAnsi="宋体" w:cs="宋体"/>
            </w:rPr>
            <w:t>七、质量保证及售后服务方案</w:t>
          </w:r>
          <w:r>
            <w:tab/>
          </w:r>
          <w:r>
            <w:fldChar w:fldCharType="begin"/>
          </w:r>
          <w:r>
            <w:instrText xml:space="preserve"> PAGEREF _Toc8107 \h </w:instrText>
          </w:r>
          <w:r>
            <w:fldChar w:fldCharType="separate"/>
          </w:r>
          <w:r>
            <w:t>49</w:t>
          </w:r>
          <w:r>
            <w:fldChar w:fldCharType="end"/>
          </w:r>
          <w:r>
            <w:fldChar w:fldCharType="end"/>
          </w:r>
        </w:p>
        <w:p w14:paraId="125BE0D0">
          <w:pPr>
            <w:pStyle w:val="41"/>
            <w:tabs>
              <w:tab w:val="right" w:leader="dot" w:pos="9072"/>
            </w:tabs>
          </w:pPr>
          <w:r>
            <w:fldChar w:fldCharType="begin"/>
          </w:r>
          <w:r>
            <w:instrText xml:space="preserve"> HYPERLINK \l "_Toc13335" </w:instrText>
          </w:r>
          <w:r>
            <w:fldChar w:fldCharType="separate"/>
          </w:r>
          <w:r>
            <w:rPr>
              <w:rFonts w:hint="eastAsia" w:ascii="宋体" w:hAnsi="宋体" w:cs="宋体"/>
              <w:bCs/>
              <w:szCs w:val="36"/>
            </w:rPr>
            <w:t>八、商务响应偏离表</w:t>
          </w:r>
          <w:r>
            <w:tab/>
          </w:r>
          <w:r>
            <w:fldChar w:fldCharType="begin"/>
          </w:r>
          <w:r>
            <w:instrText xml:space="preserve"> PAGEREF _Toc13335 \h </w:instrText>
          </w:r>
          <w:r>
            <w:fldChar w:fldCharType="separate"/>
          </w:r>
          <w:r>
            <w:t>50</w:t>
          </w:r>
          <w:r>
            <w:fldChar w:fldCharType="end"/>
          </w:r>
          <w:r>
            <w:fldChar w:fldCharType="end"/>
          </w:r>
        </w:p>
        <w:p w14:paraId="69CC4CE6">
          <w:pPr>
            <w:pStyle w:val="41"/>
            <w:tabs>
              <w:tab w:val="right" w:leader="dot" w:pos="9072"/>
            </w:tabs>
          </w:pPr>
          <w:r>
            <w:fldChar w:fldCharType="begin"/>
          </w:r>
          <w:r>
            <w:instrText xml:space="preserve"> HYPERLINK \l "_Toc2492" </w:instrText>
          </w:r>
          <w:r>
            <w:fldChar w:fldCharType="separate"/>
          </w:r>
          <w:r>
            <w:rPr>
              <w:rFonts w:hint="eastAsia" w:ascii="宋体" w:hAnsi="宋体" w:cs="宋体"/>
              <w:bCs/>
              <w:szCs w:val="36"/>
            </w:rPr>
            <w:t>九、技术响应偏离表</w:t>
          </w:r>
          <w:r>
            <w:tab/>
          </w:r>
          <w:r>
            <w:fldChar w:fldCharType="begin"/>
          </w:r>
          <w:r>
            <w:instrText xml:space="preserve"> PAGEREF _Toc2492 \h </w:instrText>
          </w:r>
          <w:r>
            <w:fldChar w:fldCharType="separate"/>
          </w:r>
          <w:r>
            <w:t>51</w:t>
          </w:r>
          <w:r>
            <w:fldChar w:fldCharType="end"/>
          </w:r>
          <w:r>
            <w:fldChar w:fldCharType="end"/>
          </w:r>
        </w:p>
        <w:p w14:paraId="5DAEFC61">
          <w:pPr>
            <w:pStyle w:val="41"/>
            <w:tabs>
              <w:tab w:val="right" w:leader="dot" w:pos="9072"/>
            </w:tabs>
          </w:pPr>
          <w:r>
            <w:fldChar w:fldCharType="begin"/>
          </w:r>
          <w:r>
            <w:instrText xml:space="preserve"> HYPERLINK \l "_Toc14658" </w:instrText>
          </w:r>
          <w:r>
            <w:fldChar w:fldCharType="separate"/>
          </w:r>
          <w:r>
            <w:rPr>
              <w:rFonts w:hint="eastAsia" w:ascii="宋体" w:hAnsi="宋体" w:cs="宋体"/>
              <w:bCs/>
              <w:szCs w:val="36"/>
            </w:rPr>
            <w:t>十、供应商资信声明</w:t>
          </w:r>
          <w:r>
            <w:tab/>
          </w:r>
          <w:r>
            <w:fldChar w:fldCharType="begin"/>
          </w:r>
          <w:r>
            <w:instrText xml:space="preserve"> PAGEREF _Toc14658 \h </w:instrText>
          </w:r>
          <w:r>
            <w:fldChar w:fldCharType="separate"/>
          </w:r>
          <w:r>
            <w:t>52</w:t>
          </w:r>
          <w:r>
            <w:fldChar w:fldCharType="end"/>
          </w:r>
          <w:r>
            <w:fldChar w:fldCharType="end"/>
          </w:r>
        </w:p>
        <w:p w14:paraId="1D14F380">
          <w:pPr>
            <w:pStyle w:val="41"/>
            <w:tabs>
              <w:tab w:val="right" w:leader="dot" w:pos="9072"/>
            </w:tabs>
          </w:pPr>
          <w:r>
            <w:fldChar w:fldCharType="begin"/>
          </w:r>
          <w:r>
            <w:instrText xml:space="preserve"> HYPERLINK \l "_Toc7614" </w:instrText>
          </w:r>
          <w:r>
            <w:fldChar w:fldCharType="separate"/>
          </w:r>
          <w:r>
            <w:rPr>
              <w:rFonts w:hint="eastAsia" w:ascii="宋体" w:hAnsi="宋体" w:cs="宋体"/>
              <w:bCs/>
              <w:szCs w:val="32"/>
            </w:rPr>
            <w:t>十一、项目组人员</w:t>
          </w:r>
          <w:r>
            <w:tab/>
          </w:r>
          <w:r>
            <w:fldChar w:fldCharType="begin"/>
          </w:r>
          <w:r>
            <w:instrText xml:space="preserve"> PAGEREF _Toc7614 \h </w:instrText>
          </w:r>
          <w:r>
            <w:fldChar w:fldCharType="separate"/>
          </w:r>
          <w:r>
            <w:t>53</w:t>
          </w:r>
          <w:r>
            <w:fldChar w:fldCharType="end"/>
          </w:r>
          <w:r>
            <w:fldChar w:fldCharType="end"/>
          </w:r>
        </w:p>
        <w:p w14:paraId="47CE3C4F">
          <w:pPr>
            <w:pStyle w:val="41"/>
            <w:tabs>
              <w:tab w:val="right" w:leader="dot" w:pos="9072"/>
            </w:tabs>
          </w:pPr>
          <w:r>
            <w:fldChar w:fldCharType="begin"/>
          </w:r>
          <w:r>
            <w:instrText xml:space="preserve"> HYPERLINK \l "_Toc18899" </w:instrText>
          </w:r>
          <w:r>
            <w:fldChar w:fldCharType="separate"/>
          </w:r>
          <w:r>
            <w:rPr>
              <w:rFonts w:hint="eastAsia" w:ascii="宋体" w:hAnsi="宋体" w:cs="宋体"/>
              <w:kern w:val="0"/>
              <w:szCs w:val="24"/>
            </w:rPr>
            <w:t>十二、供应商承担类似项目业绩一览表</w:t>
          </w:r>
          <w:r>
            <w:tab/>
          </w:r>
          <w:r>
            <w:fldChar w:fldCharType="begin"/>
          </w:r>
          <w:r>
            <w:instrText xml:space="preserve"> PAGEREF _Toc18899 \h </w:instrText>
          </w:r>
          <w:r>
            <w:fldChar w:fldCharType="separate"/>
          </w:r>
          <w:r>
            <w:t>55</w:t>
          </w:r>
          <w:r>
            <w:fldChar w:fldCharType="end"/>
          </w:r>
          <w:r>
            <w:fldChar w:fldCharType="end"/>
          </w:r>
        </w:p>
        <w:p w14:paraId="4DEC6F20">
          <w:pPr>
            <w:pStyle w:val="41"/>
            <w:tabs>
              <w:tab w:val="right" w:leader="dot" w:pos="9072"/>
            </w:tabs>
          </w:pPr>
          <w:r>
            <w:fldChar w:fldCharType="begin"/>
          </w:r>
          <w:r>
            <w:instrText xml:space="preserve"> HYPERLINK \l "_Toc24808" </w:instrText>
          </w:r>
          <w:r>
            <w:fldChar w:fldCharType="separate"/>
          </w:r>
          <w:r>
            <w:rPr>
              <w:rFonts w:hint="eastAsia" w:ascii="宋体" w:hAnsi="宋体" w:cs="宋体"/>
              <w:kern w:val="0"/>
            </w:rPr>
            <w:t>十三、谈判所需的其他资料</w:t>
          </w:r>
          <w:r>
            <w:tab/>
          </w:r>
          <w:r>
            <w:fldChar w:fldCharType="begin"/>
          </w:r>
          <w:r>
            <w:instrText xml:space="preserve"> PAGEREF _Toc24808 \h </w:instrText>
          </w:r>
          <w:r>
            <w:fldChar w:fldCharType="separate"/>
          </w:r>
          <w:r>
            <w:t>56</w:t>
          </w:r>
          <w:r>
            <w:fldChar w:fldCharType="end"/>
          </w:r>
          <w:r>
            <w:fldChar w:fldCharType="end"/>
          </w:r>
        </w:p>
        <w:p w14:paraId="027002F5">
          <w:pPr>
            <w:spacing w:line="500" w:lineRule="exact"/>
            <w:rPr>
              <w:rFonts w:ascii="宋体" w:hAnsi="宋体" w:cs="宋体"/>
              <w:highlight w:val="yellow"/>
            </w:rPr>
          </w:pPr>
          <w:r>
            <w:rPr>
              <w:rFonts w:hint="eastAsia" w:ascii="宋体" w:hAnsi="宋体" w:cs="宋体"/>
              <w:highlight w:val="yellow"/>
            </w:rPr>
            <w:fldChar w:fldCharType="end"/>
          </w:r>
        </w:p>
      </w:sdtContent>
    </w:sdt>
    <w:p w14:paraId="1E2E2CCD">
      <w:pPr>
        <w:pStyle w:val="35"/>
        <w:rPr>
          <w:rFonts w:ascii="宋体" w:hAnsi="宋体" w:cs="宋体"/>
          <w:highlight w:val="yellow"/>
        </w:rPr>
      </w:pPr>
    </w:p>
    <w:p w14:paraId="6C796600">
      <w:pPr>
        <w:rPr>
          <w:rFonts w:ascii="宋体" w:hAnsi="宋体" w:cs="宋体"/>
          <w:highlight w:val="yellow"/>
        </w:rPr>
      </w:pPr>
    </w:p>
    <w:p w14:paraId="084B0152">
      <w:pPr>
        <w:pStyle w:val="35"/>
        <w:rPr>
          <w:rFonts w:ascii="宋体" w:hAnsi="宋体" w:cs="宋体"/>
          <w:highlight w:val="yellow"/>
        </w:rPr>
      </w:pPr>
    </w:p>
    <w:p w14:paraId="3A2CCD2A">
      <w:pPr>
        <w:pStyle w:val="2"/>
        <w:spacing w:line="240" w:lineRule="auto"/>
        <w:jc w:val="center"/>
        <w:rPr>
          <w:rFonts w:ascii="宋体" w:hAnsi="宋体" w:cs="宋体"/>
          <w:highlight w:val="white"/>
        </w:rPr>
        <w:sectPr>
          <w:headerReference r:id="rId3" w:type="default"/>
          <w:footerReference r:id="rId4" w:type="default"/>
          <w:pgSz w:w="11906" w:h="16838"/>
          <w:pgMar w:top="1417" w:right="1417" w:bottom="1417" w:left="1417" w:header="851" w:footer="992" w:gutter="0"/>
          <w:cols w:space="425" w:num="1"/>
          <w:docGrid w:type="lines" w:linePitch="312" w:charSpace="0"/>
        </w:sectPr>
      </w:pPr>
      <w:bookmarkStart w:id="0" w:name="_Toc28369"/>
      <w:bookmarkStart w:id="1" w:name="_Toc535316451"/>
    </w:p>
    <w:p w14:paraId="47BED261">
      <w:pPr>
        <w:pStyle w:val="2"/>
        <w:spacing w:line="240" w:lineRule="auto"/>
        <w:jc w:val="center"/>
        <w:rPr>
          <w:rFonts w:ascii="宋体" w:hAnsi="宋体" w:cs="宋体"/>
          <w:sz w:val="24"/>
        </w:rPr>
      </w:pPr>
      <w:bookmarkStart w:id="2" w:name="_Toc21622"/>
      <w:r>
        <w:rPr>
          <w:rFonts w:hint="eastAsia" w:ascii="宋体" w:hAnsi="宋体" w:cs="宋体"/>
          <w:highlight w:val="white"/>
        </w:rPr>
        <w:t>第一部分  竞争性谈判邀请函</w:t>
      </w:r>
      <w:bookmarkEnd w:id="0"/>
      <w:bookmarkEnd w:id="1"/>
      <w:bookmarkEnd w:id="2"/>
    </w:p>
    <w:p w14:paraId="7E99A9A1">
      <w:pPr>
        <w:spacing w:line="500" w:lineRule="exact"/>
        <w:rPr>
          <w:rFonts w:ascii="宋体" w:hAnsi="宋体" w:cs="宋体"/>
          <w:sz w:val="24"/>
        </w:rPr>
      </w:pPr>
      <w:r>
        <w:rPr>
          <w:rFonts w:hint="eastAsia" w:ascii="宋体" w:hAnsi="宋体" w:cs="宋体"/>
          <w:sz w:val="24"/>
        </w:rPr>
        <w:t>各供应商：</w:t>
      </w:r>
    </w:p>
    <w:p w14:paraId="680D6FE2">
      <w:pPr>
        <w:spacing w:line="500" w:lineRule="exact"/>
        <w:ind w:firstLine="480" w:firstLineChars="200"/>
        <w:rPr>
          <w:rFonts w:ascii="宋体" w:hAnsi="宋体" w:cs="宋体"/>
          <w:sz w:val="24"/>
        </w:rPr>
      </w:pPr>
      <w:r>
        <w:rPr>
          <w:rFonts w:hint="eastAsia" w:ascii="宋体" w:hAnsi="宋体" w:cs="宋体"/>
          <w:sz w:val="24"/>
          <w:shd w:val="clear" w:color="auto" w:fill="FFFFFF"/>
        </w:rPr>
        <w:t>江苏方园项目招标管理有限公司受宿迁市宿城区龙河人民医院的委托</w:t>
      </w:r>
      <w:r>
        <w:rPr>
          <w:rFonts w:hint="eastAsia" w:ascii="宋体" w:hAnsi="宋体" w:cs="宋体"/>
          <w:sz w:val="24"/>
        </w:rPr>
        <w:t>，拟对宿迁市宿城区龙河人民医院后勤服务采购项目进行竞争性谈判采购，欢迎合格供应商前来参与。</w:t>
      </w:r>
    </w:p>
    <w:p w14:paraId="668A2E9B">
      <w:pPr>
        <w:spacing w:line="500" w:lineRule="exact"/>
        <w:ind w:firstLine="480" w:firstLineChars="200"/>
        <w:rPr>
          <w:rFonts w:ascii="宋体" w:hAnsi="宋体" w:cs="宋体"/>
          <w:sz w:val="24"/>
        </w:rPr>
      </w:pPr>
      <w:r>
        <w:rPr>
          <w:rFonts w:hint="eastAsia" w:ascii="宋体" w:hAnsi="宋体" w:cs="宋体"/>
          <w:sz w:val="24"/>
        </w:rPr>
        <w:t>一、项目基本情况</w:t>
      </w:r>
    </w:p>
    <w:p w14:paraId="5E2AD3A9">
      <w:pPr>
        <w:spacing w:line="500" w:lineRule="exact"/>
        <w:ind w:firstLine="480" w:firstLineChars="200"/>
        <w:rPr>
          <w:rFonts w:ascii="宋体" w:hAnsi="宋体" w:cs="宋体"/>
          <w:sz w:val="24"/>
        </w:rPr>
      </w:pPr>
      <w:r>
        <w:rPr>
          <w:rFonts w:hint="eastAsia" w:ascii="宋体" w:hAnsi="宋体" w:cs="宋体"/>
          <w:sz w:val="24"/>
        </w:rPr>
        <w:t>（一）项目编号：JSZC-321302-JSFY-G2024-0015</w:t>
      </w:r>
    </w:p>
    <w:p w14:paraId="2C06F50E">
      <w:pPr>
        <w:spacing w:line="500" w:lineRule="exact"/>
        <w:ind w:firstLine="480" w:firstLineChars="200"/>
        <w:rPr>
          <w:rFonts w:ascii="宋体" w:hAnsi="宋体" w:cs="宋体"/>
          <w:sz w:val="24"/>
        </w:rPr>
      </w:pPr>
      <w:r>
        <w:rPr>
          <w:rFonts w:hint="eastAsia" w:ascii="宋体" w:hAnsi="宋体" w:cs="宋体"/>
          <w:sz w:val="24"/>
        </w:rPr>
        <w:t xml:space="preserve">（二）项目名称：宿迁市宿城区龙河人民医院后勤服务采购项目 </w:t>
      </w:r>
    </w:p>
    <w:p w14:paraId="21F3DAD3">
      <w:pPr>
        <w:spacing w:line="500" w:lineRule="exact"/>
        <w:ind w:firstLine="480" w:firstLineChars="200"/>
        <w:rPr>
          <w:rFonts w:ascii="宋体" w:hAnsi="宋体" w:cs="宋体"/>
          <w:sz w:val="24"/>
        </w:rPr>
      </w:pPr>
      <w:bookmarkStart w:id="3" w:name="EBde257f81421444dd9543e30ef19e776f"/>
      <w:r>
        <w:rPr>
          <w:rFonts w:hint="eastAsia" w:ascii="宋体" w:hAnsi="宋体" w:cs="宋体"/>
          <w:sz w:val="24"/>
        </w:rPr>
        <w:t>（三）预算金额：</w:t>
      </w:r>
      <w:bookmarkStart w:id="4" w:name="EB839e973c1f9b45a6b4f805f81d6f9994"/>
      <w:bookmarkStart w:id="5" w:name="EB67fa3d40922145a69d0b4090e9d2d2ea"/>
      <w:r>
        <w:rPr>
          <w:rFonts w:ascii="宋体" w:hAnsi="宋体" w:cs="宋体"/>
          <w:sz w:val="24"/>
        </w:rPr>
        <w:t>80</w:t>
      </w:r>
      <w:r>
        <w:rPr>
          <w:rFonts w:hint="eastAsia" w:ascii="宋体" w:hAnsi="宋体" w:cs="宋体"/>
          <w:sz w:val="24"/>
        </w:rPr>
        <w:t>万元</w:t>
      </w:r>
    </w:p>
    <w:bookmarkEnd w:id="4"/>
    <w:bookmarkEnd w:id="5"/>
    <w:p w14:paraId="231EA819">
      <w:pPr>
        <w:spacing w:line="500" w:lineRule="exact"/>
        <w:ind w:firstLine="480" w:firstLineChars="200"/>
        <w:rPr>
          <w:rFonts w:ascii="宋体" w:hAnsi="宋体" w:cs="宋体"/>
          <w:sz w:val="24"/>
        </w:rPr>
      </w:pPr>
      <w:r>
        <w:rPr>
          <w:rFonts w:hint="eastAsia" w:ascii="宋体" w:hAnsi="宋体" w:cs="宋体"/>
          <w:sz w:val="24"/>
        </w:rPr>
        <w:t>（四）最高限价：</w:t>
      </w:r>
      <w:bookmarkStart w:id="6" w:name="EB6e52dfdd330d40a1b0dfb9d28068059f"/>
      <w:bookmarkStart w:id="7" w:name="EBf21dd1b813344298b426e0e834c89a00"/>
      <w:r>
        <w:rPr>
          <w:rFonts w:ascii="宋体" w:hAnsi="宋体" w:cs="宋体"/>
          <w:sz w:val="24"/>
        </w:rPr>
        <w:t>80</w:t>
      </w:r>
      <w:r>
        <w:rPr>
          <w:rFonts w:hint="eastAsia" w:ascii="宋体" w:hAnsi="宋体" w:cs="宋体"/>
          <w:sz w:val="24"/>
        </w:rPr>
        <w:t>万元，高于此限价做无效标处理。</w:t>
      </w:r>
      <w:bookmarkEnd w:id="3"/>
      <w:bookmarkEnd w:id="6"/>
      <w:bookmarkEnd w:id="7"/>
    </w:p>
    <w:p w14:paraId="6A237995">
      <w:pPr>
        <w:spacing w:line="500" w:lineRule="exact"/>
        <w:ind w:firstLine="480" w:firstLineChars="200"/>
        <w:rPr>
          <w:rFonts w:ascii="宋体" w:hAnsi="宋体" w:cs="宋体"/>
          <w:sz w:val="24"/>
        </w:rPr>
      </w:pPr>
      <w:r>
        <w:rPr>
          <w:rFonts w:hint="eastAsia" w:ascii="宋体" w:hAnsi="宋体" w:cs="宋体"/>
          <w:sz w:val="24"/>
        </w:rPr>
        <w:t>（五）采购需求：</w:t>
      </w:r>
      <w:bookmarkStart w:id="8" w:name="EB08d11d6981c74f1abf64ad122e32ebee"/>
      <w:r>
        <w:rPr>
          <w:rFonts w:hint="eastAsia" w:ascii="宋体" w:hAnsi="宋体" w:cs="宋体"/>
          <w:sz w:val="24"/>
          <w:highlight w:val="white"/>
        </w:rPr>
        <w:t>宿迁市宿城区龙河人民医院拟定对医院后勤服务进行采购，服务所需岗位和人员数量包括：管理岗位、保洁、运送、驻守工勤人员（运送人员有夜班）、保安(含消控人员24小时值班）、水电维修（有夜班），</w:t>
      </w:r>
      <w:bookmarkEnd w:id="8"/>
      <w:r>
        <w:rPr>
          <w:rFonts w:hint="eastAsia" w:ascii="宋体" w:hAnsi="宋体" w:cs="宋体"/>
          <w:kern w:val="0"/>
          <w:sz w:val="24"/>
        </w:rPr>
        <w:t>详细内容见本谈判文件第四章。</w:t>
      </w:r>
    </w:p>
    <w:p w14:paraId="6DFC334D">
      <w:pPr>
        <w:spacing w:line="500" w:lineRule="exact"/>
        <w:ind w:firstLine="480" w:firstLineChars="200"/>
        <w:rPr>
          <w:rFonts w:ascii="宋体" w:hAnsi="宋体" w:cs="宋体"/>
          <w:sz w:val="24"/>
        </w:rPr>
      </w:pPr>
      <w:r>
        <w:rPr>
          <w:rFonts w:hint="eastAsia" w:ascii="宋体" w:hAnsi="宋体" w:cs="宋体"/>
          <w:sz w:val="24"/>
        </w:rPr>
        <w:t>（六）合同履行期限：</w:t>
      </w:r>
      <w:r>
        <w:rPr>
          <w:rFonts w:hint="eastAsia" w:ascii="宋体" w:hAnsi="宋体" w:cs="宋体"/>
          <w:sz w:val="24"/>
          <w:highlight w:val="white"/>
        </w:rPr>
        <w:t>合同生效之日起一年。</w:t>
      </w:r>
    </w:p>
    <w:p w14:paraId="493CA3BB">
      <w:pPr>
        <w:spacing w:line="500" w:lineRule="exact"/>
        <w:ind w:firstLine="480" w:firstLineChars="200"/>
        <w:rPr>
          <w:rFonts w:ascii="宋体" w:hAnsi="宋体" w:cs="宋体"/>
          <w:sz w:val="24"/>
        </w:rPr>
      </w:pPr>
      <w:r>
        <w:rPr>
          <w:rFonts w:hint="eastAsia" w:ascii="宋体" w:hAnsi="宋体" w:cs="宋体"/>
          <w:sz w:val="24"/>
        </w:rPr>
        <w:t>（七）本项目不接受联合体竞标。</w:t>
      </w:r>
    </w:p>
    <w:p w14:paraId="2D9B45C2">
      <w:pPr>
        <w:spacing w:line="500" w:lineRule="exact"/>
        <w:ind w:firstLine="482" w:firstLineChars="200"/>
        <w:rPr>
          <w:rFonts w:ascii="宋体" w:hAnsi="宋体" w:cs="宋体"/>
          <w:b/>
          <w:bCs/>
          <w:sz w:val="24"/>
        </w:rPr>
      </w:pPr>
      <w:r>
        <w:rPr>
          <w:rFonts w:hint="eastAsia" w:ascii="宋体" w:hAnsi="宋体" w:cs="宋体"/>
          <w:b/>
          <w:bCs/>
          <w:sz w:val="24"/>
        </w:rPr>
        <w:t>二、申请人的资格要求</w:t>
      </w:r>
    </w:p>
    <w:p w14:paraId="38CFF6B9">
      <w:pPr>
        <w:spacing w:line="500" w:lineRule="exact"/>
        <w:ind w:firstLine="480" w:firstLineChars="200"/>
        <w:rPr>
          <w:rFonts w:ascii="宋体" w:hAnsi="宋体" w:cs="宋体"/>
          <w:sz w:val="24"/>
        </w:rPr>
      </w:pPr>
      <w:r>
        <w:rPr>
          <w:rFonts w:hint="eastAsia" w:ascii="宋体" w:hAnsi="宋体" w:cs="宋体"/>
          <w:sz w:val="24"/>
        </w:rPr>
        <w:t>（一）独立承担民事责任能力的法人或其他经济组织。</w:t>
      </w:r>
    </w:p>
    <w:p w14:paraId="1D38E97B">
      <w:pPr>
        <w:spacing w:line="500" w:lineRule="exact"/>
        <w:ind w:firstLine="480" w:firstLineChars="200"/>
        <w:rPr>
          <w:rFonts w:ascii="宋体" w:hAnsi="宋体" w:cs="宋体"/>
          <w:sz w:val="24"/>
        </w:rPr>
      </w:pPr>
      <w:r>
        <w:rPr>
          <w:rFonts w:hint="eastAsia" w:ascii="宋体" w:hAnsi="宋体" w:cs="宋体"/>
          <w:sz w:val="24"/>
        </w:rPr>
        <w:t>（二）供应商未被列入失信被执行人、重大税收违法案件当事人名单、采购严重违法失信行为记录名单（以本公告“四、供应商信用信息”查询结果为准）。</w:t>
      </w:r>
    </w:p>
    <w:p w14:paraId="08F1C60E">
      <w:pPr>
        <w:spacing w:line="500" w:lineRule="exact"/>
        <w:ind w:firstLine="480" w:firstLineChars="200"/>
        <w:rPr>
          <w:rFonts w:ascii="宋体" w:hAnsi="宋体" w:cs="宋体"/>
          <w:sz w:val="24"/>
        </w:rPr>
      </w:pPr>
      <w:r>
        <w:rPr>
          <w:rFonts w:hint="eastAsia" w:ascii="宋体" w:hAnsi="宋体" w:cs="宋体"/>
          <w:sz w:val="24"/>
        </w:rPr>
        <w:t>（三）落实政府采购政策需满足的资格要求：本项目为专门面向中小企业采购的项目，投标人应为中小微企业、监狱企业、残疾人福利性单位。</w:t>
      </w:r>
    </w:p>
    <w:p w14:paraId="2B61D818">
      <w:pPr>
        <w:spacing w:line="500" w:lineRule="exact"/>
        <w:ind w:firstLine="480" w:firstLineChars="200"/>
        <w:rPr>
          <w:rFonts w:ascii="宋体" w:hAnsi="宋体" w:cs="宋体"/>
          <w:sz w:val="24"/>
        </w:rPr>
      </w:pPr>
      <w:r>
        <w:rPr>
          <w:rFonts w:hint="eastAsia" w:ascii="宋体" w:hAnsi="宋体" w:cs="宋体"/>
          <w:sz w:val="24"/>
        </w:rPr>
        <w:t>（四）单位负责人为同一人或者存在直接控股、管理关系的不同供应商，不得参加同一合同项下的采购活动。否则，相关申请均无效。</w:t>
      </w:r>
    </w:p>
    <w:p w14:paraId="5463AC5B">
      <w:pPr>
        <w:spacing w:line="500" w:lineRule="exact"/>
        <w:ind w:firstLine="482" w:firstLineChars="200"/>
        <w:rPr>
          <w:rFonts w:ascii="宋体" w:hAnsi="宋体" w:cs="宋体"/>
          <w:b/>
          <w:bCs/>
          <w:sz w:val="24"/>
        </w:rPr>
      </w:pPr>
      <w:bookmarkStart w:id="9" w:name="_Toc21409"/>
      <w:r>
        <w:rPr>
          <w:rFonts w:hint="eastAsia" w:ascii="宋体" w:hAnsi="宋体" w:cs="宋体"/>
          <w:b/>
          <w:bCs/>
          <w:sz w:val="24"/>
        </w:rPr>
        <w:t>三、成交原则</w:t>
      </w:r>
      <w:bookmarkEnd w:id="9"/>
    </w:p>
    <w:p w14:paraId="0ED7F53B">
      <w:pPr>
        <w:spacing w:line="500" w:lineRule="exact"/>
        <w:ind w:firstLine="480" w:firstLineChars="200"/>
        <w:rPr>
          <w:rFonts w:ascii="宋体" w:hAnsi="宋体" w:cs="宋体"/>
          <w:sz w:val="24"/>
        </w:rPr>
      </w:pPr>
      <w:r>
        <w:rPr>
          <w:rFonts w:hint="eastAsia" w:ascii="宋体" w:hAnsi="宋体" w:cs="宋体"/>
          <w:sz w:val="24"/>
        </w:rPr>
        <w:t>符合采购需求，质量、服务相等且报价最低的。具体细则详见竞争性谈判文件评审方法部分。</w:t>
      </w:r>
    </w:p>
    <w:p w14:paraId="0DE78791">
      <w:pPr>
        <w:spacing w:line="500" w:lineRule="exact"/>
        <w:ind w:firstLine="482" w:firstLineChars="200"/>
        <w:rPr>
          <w:rFonts w:ascii="宋体" w:hAnsi="宋体" w:cs="宋体"/>
          <w:sz w:val="24"/>
        </w:rPr>
      </w:pPr>
      <w:r>
        <w:rPr>
          <w:rFonts w:hint="eastAsia" w:ascii="宋体" w:hAnsi="宋体" w:cs="宋体"/>
          <w:b/>
          <w:bCs/>
          <w:sz w:val="24"/>
        </w:rPr>
        <w:t>四、供应商信用信息</w:t>
      </w:r>
    </w:p>
    <w:p w14:paraId="064882D2">
      <w:pPr>
        <w:spacing w:line="500" w:lineRule="exact"/>
        <w:ind w:firstLine="480" w:firstLineChars="200"/>
        <w:rPr>
          <w:rFonts w:ascii="宋体" w:hAnsi="宋体" w:cs="宋体"/>
          <w:sz w:val="24"/>
        </w:rPr>
      </w:pPr>
      <w:r>
        <w:rPr>
          <w:rFonts w:hint="eastAsia" w:ascii="宋体" w:hAnsi="宋体" w:cs="宋体"/>
          <w:sz w:val="24"/>
        </w:rPr>
        <w:t>（一）信用信息查询渠道为：“信用中国”网（www.creditchina.gov.cn）。</w:t>
      </w:r>
    </w:p>
    <w:p w14:paraId="26CF6E29">
      <w:pPr>
        <w:spacing w:line="500" w:lineRule="exact"/>
        <w:ind w:firstLine="480" w:firstLineChars="200"/>
        <w:rPr>
          <w:rFonts w:ascii="宋体" w:hAnsi="宋体" w:cs="宋体"/>
          <w:sz w:val="24"/>
        </w:rPr>
      </w:pPr>
      <w:r>
        <w:rPr>
          <w:rFonts w:hint="eastAsia" w:ascii="宋体" w:hAnsi="宋体" w:cs="宋体"/>
          <w:sz w:val="24"/>
        </w:rPr>
        <w:t>（二）信用信息查询截止时点：资格审查结束前。</w:t>
      </w:r>
    </w:p>
    <w:p w14:paraId="7EC1D363">
      <w:pPr>
        <w:spacing w:line="500" w:lineRule="exact"/>
        <w:ind w:firstLine="480" w:firstLineChars="200"/>
        <w:rPr>
          <w:rFonts w:ascii="宋体" w:hAnsi="宋体" w:cs="宋体"/>
          <w:sz w:val="24"/>
        </w:rPr>
      </w:pPr>
      <w:r>
        <w:rPr>
          <w:rFonts w:hint="eastAsia" w:ascii="宋体" w:hAnsi="宋体" w:cs="宋体"/>
          <w:sz w:val="24"/>
        </w:rPr>
        <w:t>（三）信用信息查询记录和证据留存的方式：由谈判小组在资格审查现场查询信用信息，网页截屏打印，与其他采购文件一并保存。网页截屏应当留有（或注明）查询时点的网页地址和网络时间标记。信用查询记录（网页截屏和《采购信用信息查询使用情况说明》）由谈判小组签字确认。</w:t>
      </w:r>
    </w:p>
    <w:p w14:paraId="6CD77B84">
      <w:pPr>
        <w:spacing w:line="500" w:lineRule="exact"/>
        <w:ind w:firstLine="480" w:firstLineChars="200"/>
        <w:rPr>
          <w:rFonts w:ascii="宋体" w:hAnsi="宋体" w:cs="宋体"/>
          <w:sz w:val="24"/>
        </w:rPr>
      </w:pPr>
      <w:r>
        <w:rPr>
          <w:rFonts w:hint="eastAsia" w:ascii="宋体" w:hAnsi="宋体" w:cs="宋体"/>
          <w:sz w:val="24"/>
        </w:rPr>
        <w:t>（四）信用信息的使用规则：谈判小组对供应商信用记录进行甄别，对列入失信被执行人、重大税收违法案件当事人名单、严重违法失信行为记录名单，拒绝其参与本项采购活动。</w:t>
      </w:r>
    </w:p>
    <w:p w14:paraId="21AA6F37">
      <w:pPr>
        <w:spacing w:line="500" w:lineRule="exact"/>
        <w:ind w:firstLine="482" w:firstLineChars="200"/>
        <w:rPr>
          <w:rFonts w:ascii="宋体" w:hAnsi="宋体" w:cs="宋体"/>
          <w:b/>
          <w:bCs/>
          <w:sz w:val="24"/>
        </w:rPr>
      </w:pPr>
      <w:r>
        <w:rPr>
          <w:rFonts w:hint="eastAsia" w:ascii="宋体" w:hAnsi="宋体" w:cs="宋体"/>
          <w:b/>
          <w:bCs/>
          <w:sz w:val="24"/>
        </w:rPr>
        <w:t>五、获取谈判文件</w:t>
      </w:r>
    </w:p>
    <w:p w14:paraId="227958FD">
      <w:pPr>
        <w:spacing w:line="500" w:lineRule="exact"/>
        <w:ind w:firstLine="480" w:firstLineChars="200"/>
        <w:rPr>
          <w:rFonts w:ascii="宋体" w:hAnsi="宋体" w:cs="宋体"/>
          <w:sz w:val="24"/>
        </w:rPr>
      </w:pPr>
      <w:r>
        <w:rPr>
          <w:rFonts w:hint="eastAsia" w:ascii="宋体" w:hAnsi="宋体" w:cs="宋体"/>
          <w:sz w:val="24"/>
        </w:rPr>
        <w:t>谈判文件提供</w:t>
      </w:r>
      <w:r>
        <w:rPr>
          <w:rFonts w:hint="eastAsia" w:ascii="宋体" w:hAnsi="宋体" w:cs="宋体"/>
          <w:sz w:val="24"/>
          <w:highlight w:val="yellow"/>
        </w:rPr>
        <w:t>时间</w:t>
      </w:r>
      <w:r>
        <w:rPr>
          <w:rFonts w:hint="eastAsia" w:ascii="宋体" w:hAnsi="宋体" w:cs="宋体"/>
          <w:sz w:val="24"/>
        </w:rPr>
        <w:t>：2024年12月</w:t>
      </w:r>
      <w:r>
        <w:rPr>
          <w:rFonts w:ascii="宋体" w:hAnsi="宋体" w:cs="宋体"/>
          <w:sz w:val="24"/>
        </w:rPr>
        <w:t>25</w:t>
      </w:r>
      <w:r>
        <w:rPr>
          <w:rFonts w:hint="eastAsia" w:ascii="宋体" w:hAnsi="宋体" w:cs="宋体"/>
          <w:sz w:val="24"/>
        </w:rPr>
        <w:t>日9:00至17:30</w:t>
      </w:r>
    </w:p>
    <w:p w14:paraId="6849FAEF">
      <w:pPr>
        <w:spacing w:line="500" w:lineRule="exact"/>
        <w:ind w:firstLine="482" w:firstLineChars="200"/>
        <w:rPr>
          <w:rFonts w:ascii="宋体" w:hAnsi="宋体" w:cs="宋体"/>
          <w:sz w:val="24"/>
        </w:rPr>
      </w:pPr>
      <w:r>
        <w:rPr>
          <w:rFonts w:hint="eastAsia" w:ascii="宋体" w:hAnsi="宋体" w:cs="宋体"/>
          <w:b/>
          <w:bCs/>
          <w:sz w:val="24"/>
        </w:rPr>
        <w:t>六、响应文件提交截止时间、谈判时间和地点</w:t>
      </w:r>
    </w:p>
    <w:p w14:paraId="792C7E9C">
      <w:pPr>
        <w:spacing w:line="500" w:lineRule="exact"/>
        <w:ind w:firstLine="480" w:firstLineChars="200"/>
        <w:rPr>
          <w:rFonts w:ascii="宋体" w:hAnsi="宋体" w:cs="宋体"/>
          <w:sz w:val="24"/>
          <w:highlight w:val="green"/>
        </w:rPr>
      </w:pPr>
      <w:r>
        <w:rPr>
          <w:rFonts w:hint="eastAsia" w:ascii="宋体" w:hAnsi="宋体" w:cs="宋体"/>
          <w:sz w:val="24"/>
        </w:rPr>
        <w:t>（一）响应文件提交截止时间及</w:t>
      </w:r>
      <w:r>
        <w:rPr>
          <w:rFonts w:hint="eastAsia" w:ascii="宋体" w:hAnsi="宋体" w:cs="宋体"/>
          <w:sz w:val="24"/>
          <w:highlight w:val="yellow"/>
        </w:rPr>
        <w:t>谈判时间</w:t>
      </w:r>
      <w:r>
        <w:rPr>
          <w:rFonts w:hint="eastAsia" w:ascii="宋体" w:hAnsi="宋体" w:cs="宋体"/>
          <w:sz w:val="24"/>
        </w:rPr>
        <w:t>：202</w:t>
      </w:r>
      <w:r>
        <w:rPr>
          <w:rFonts w:ascii="宋体" w:hAnsi="宋体" w:cs="宋体"/>
          <w:sz w:val="24"/>
        </w:rPr>
        <w:t>4</w:t>
      </w:r>
      <w:r>
        <w:rPr>
          <w:rFonts w:hint="eastAsia" w:ascii="宋体" w:hAnsi="宋体" w:cs="宋体"/>
          <w:sz w:val="24"/>
        </w:rPr>
        <w:t>年</w:t>
      </w:r>
      <w:r>
        <w:rPr>
          <w:rFonts w:ascii="宋体" w:hAnsi="宋体" w:cs="宋体"/>
          <w:sz w:val="24"/>
        </w:rPr>
        <w:t>12</w:t>
      </w:r>
      <w:r>
        <w:rPr>
          <w:rFonts w:hint="eastAsia" w:ascii="宋体" w:hAnsi="宋体" w:cs="宋体"/>
          <w:sz w:val="24"/>
        </w:rPr>
        <w:t>月</w:t>
      </w:r>
      <w:r>
        <w:rPr>
          <w:rFonts w:ascii="宋体" w:hAnsi="宋体" w:cs="宋体"/>
          <w:sz w:val="24"/>
        </w:rPr>
        <w:t>31</w:t>
      </w:r>
      <w:r>
        <w:rPr>
          <w:rFonts w:hint="eastAsia" w:ascii="宋体" w:hAnsi="宋体" w:cs="宋体"/>
          <w:sz w:val="24"/>
        </w:rPr>
        <w:t>日</w:t>
      </w:r>
      <w:r>
        <w:rPr>
          <w:rFonts w:ascii="宋体" w:hAnsi="宋体" w:cs="宋体"/>
          <w:sz w:val="24"/>
        </w:rPr>
        <w:t>09</w:t>
      </w:r>
      <w:r>
        <w:rPr>
          <w:rFonts w:hint="eastAsia" w:ascii="宋体" w:hAnsi="宋体" w:cs="宋体"/>
          <w:sz w:val="24"/>
        </w:rPr>
        <w:t>:30；</w:t>
      </w:r>
    </w:p>
    <w:p w14:paraId="3B021411">
      <w:pPr>
        <w:spacing w:line="500" w:lineRule="exact"/>
        <w:ind w:firstLine="480" w:firstLineChars="200"/>
        <w:rPr>
          <w:rFonts w:ascii="宋体" w:hAnsi="宋体" w:cs="宋体"/>
          <w:sz w:val="24"/>
        </w:rPr>
      </w:pPr>
      <w:r>
        <w:rPr>
          <w:rFonts w:hint="eastAsia" w:ascii="宋体" w:hAnsi="宋体" w:cs="宋体"/>
          <w:sz w:val="24"/>
        </w:rPr>
        <w:t>（二）谈判地点：</w:t>
      </w:r>
      <w:r>
        <w:rPr>
          <w:rFonts w:hint="eastAsia" w:ascii="宋体" w:hAnsi="宋体" w:cs="宋体"/>
          <w:sz w:val="24"/>
          <w:highlight w:val="white"/>
        </w:rPr>
        <w:t>宿迁市宿城区市民服务中心三楼开标室</w:t>
      </w:r>
      <w:r>
        <w:rPr>
          <w:rFonts w:hint="eastAsia" w:ascii="宋体" w:hAnsi="宋体" w:cs="宋体"/>
          <w:sz w:val="24"/>
        </w:rPr>
        <w:t>；</w:t>
      </w:r>
    </w:p>
    <w:p w14:paraId="59C8B182">
      <w:pPr>
        <w:spacing w:line="500" w:lineRule="exact"/>
        <w:ind w:firstLine="480" w:firstLineChars="200"/>
        <w:rPr>
          <w:rFonts w:ascii="宋体" w:hAnsi="宋体" w:cs="宋体"/>
          <w:sz w:val="24"/>
        </w:rPr>
      </w:pPr>
      <w:r>
        <w:rPr>
          <w:rFonts w:hint="eastAsia" w:ascii="宋体" w:hAnsi="宋体" w:cs="宋体"/>
          <w:sz w:val="24"/>
        </w:rPr>
        <w:t>（三）供应商应在响应文件提交截止时间前将响应文件递交至谈判地点，逾期递交的响应文件，采购人不予受理。</w:t>
      </w:r>
    </w:p>
    <w:p w14:paraId="034EA032">
      <w:pPr>
        <w:spacing w:line="500" w:lineRule="exact"/>
        <w:ind w:firstLine="482" w:firstLineChars="200"/>
        <w:rPr>
          <w:rFonts w:ascii="宋体" w:hAnsi="宋体" w:cs="宋体"/>
          <w:b/>
          <w:bCs/>
          <w:iCs/>
          <w:sz w:val="24"/>
          <w:highlight w:val="white"/>
        </w:rPr>
      </w:pPr>
      <w:r>
        <w:rPr>
          <w:rFonts w:hint="eastAsia" w:ascii="宋体" w:hAnsi="宋体" w:cs="宋体"/>
          <w:b/>
          <w:bCs/>
          <w:iCs/>
          <w:sz w:val="24"/>
          <w:highlight w:val="white"/>
        </w:rPr>
        <w:t>七、采购公告（采购文件公告）期限</w:t>
      </w:r>
    </w:p>
    <w:p w14:paraId="7A645B14">
      <w:pPr>
        <w:spacing w:line="500" w:lineRule="exact"/>
        <w:ind w:firstLine="480" w:firstLineChars="200"/>
        <w:rPr>
          <w:rFonts w:ascii="宋体" w:hAnsi="宋体" w:cs="宋体"/>
          <w:sz w:val="24"/>
        </w:rPr>
      </w:pPr>
      <w:r>
        <w:rPr>
          <w:rFonts w:hint="eastAsia" w:ascii="宋体" w:hAnsi="宋体" w:cs="宋体"/>
          <w:sz w:val="24"/>
        </w:rPr>
        <w:t>发布之日起三个工作日。</w:t>
      </w:r>
    </w:p>
    <w:p w14:paraId="770701F4">
      <w:pPr>
        <w:spacing w:line="500" w:lineRule="exact"/>
        <w:ind w:firstLine="482" w:firstLineChars="200"/>
        <w:rPr>
          <w:rFonts w:ascii="宋体" w:hAnsi="宋体" w:cs="宋体"/>
          <w:b/>
          <w:bCs/>
          <w:sz w:val="24"/>
        </w:rPr>
      </w:pPr>
      <w:r>
        <w:rPr>
          <w:rFonts w:hint="eastAsia" w:ascii="宋体" w:hAnsi="宋体" w:cs="宋体"/>
          <w:b/>
          <w:bCs/>
          <w:sz w:val="24"/>
        </w:rPr>
        <w:t>八、对本次采购提出问询，请按以下方式联系。</w:t>
      </w:r>
    </w:p>
    <w:p w14:paraId="30132AEA">
      <w:pPr>
        <w:shd w:val="clear" w:color="030000" w:fill="auto"/>
        <w:spacing w:line="360" w:lineRule="auto"/>
        <w:ind w:firstLine="480" w:firstLineChars="200"/>
        <w:rPr>
          <w:rFonts w:ascii="宋体" w:hAnsi="宋体" w:cs="宋体"/>
          <w:sz w:val="24"/>
        </w:rPr>
      </w:pPr>
      <w:bookmarkStart w:id="10" w:name="_Toc28359009"/>
      <w:bookmarkStart w:id="11" w:name="_Toc28359086"/>
      <w:r>
        <w:rPr>
          <w:rFonts w:hint="eastAsia" w:ascii="宋体" w:hAnsi="宋体" w:cs="宋体"/>
          <w:sz w:val="24"/>
        </w:rPr>
        <w:t>1.采购人信息</w:t>
      </w:r>
    </w:p>
    <w:p w14:paraId="6A6225E0">
      <w:pPr>
        <w:shd w:val="clear" w:color="030000" w:fill="auto"/>
        <w:spacing w:line="360" w:lineRule="auto"/>
        <w:ind w:firstLine="480" w:firstLineChars="200"/>
        <w:rPr>
          <w:rFonts w:ascii="宋体" w:hAnsi="宋体" w:cs="宋体"/>
          <w:sz w:val="24"/>
        </w:rPr>
      </w:pPr>
      <w:r>
        <w:rPr>
          <w:rFonts w:hint="eastAsia" w:ascii="宋体" w:hAnsi="宋体" w:cs="宋体"/>
          <w:sz w:val="24"/>
        </w:rPr>
        <w:t>名称：</w:t>
      </w:r>
      <w:bookmarkStart w:id="12" w:name="EB1362ee37e1304d719f896e4bf97cdd63"/>
      <w:r>
        <w:rPr>
          <w:rFonts w:hint="eastAsia" w:ascii="宋体" w:hAnsi="宋体" w:cs="宋体"/>
          <w:sz w:val="24"/>
        </w:rPr>
        <w:t>宿迁市宿城区龙河人民医院</w:t>
      </w:r>
      <w:bookmarkEnd w:id="12"/>
    </w:p>
    <w:p w14:paraId="5253FE88">
      <w:pPr>
        <w:shd w:val="clear" w:color="030000" w:fill="auto"/>
        <w:spacing w:line="360" w:lineRule="auto"/>
        <w:ind w:firstLine="480" w:firstLineChars="200"/>
        <w:rPr>
          <w:rFonts w:ascii="宋体" w:hAnsi="宋体" w:cs="宋体"/>
          <w:sz w:val="24"/>
        </w:rPr>
      </w:pPr>
      <w:r>
        <w:rPr>
          <w:rFonts w:hint="eastAsia" w:ascii="宋体" w:hAnsi="宋体" w:cs="宋体"/>
          <w:sz w:val="24"/>
        </w:rPr>
        <w:t>地址：</w:t>
      </w:r>
      <w:bookmarkStart w:id="13" w:name="EB56584df6d7a94fbba4fdfdc5b0e454cb"/>
      <w:r>
        <w:rPr>
          <w:rFonts w:hint="eastAsia" w:ascii="宋体" w:hAnsi="宋体" w:cs="宋体"/>
          <w:sz w:val="24"/>
        </w:rPr>
        <w:t>江苏省宿迁市宿城区龙河镇龙华大街与朱瑞大道交会处</w:t>
      </w:r>
      <w:bookmarkEnd w:id="13"/>
    </w:p>
    <w:p w14:paraId="7B58806B">
      <w:pPr>
        <w:shd w:val="clear" w:color="030000" w:fill="auto"/>
        <w:spacing w:line="360" w:lineRule="auto"/>
        <w:ind w:firstLine="480" w:firstLineChars="200"/>
        <w:rPr>
          <w:rFonts w:ascii="宋体" w:hAnsi="宋体" w:cs="宋体"/>
          <w:sz w:val="24"/>
        </w:rPr>
      </w:pPr>
      <w:r>
        <w:rPr>
          <w:rFonts w:hint="eastAsia" w:ascii="宋体" w:hAnsi="宋体" w:cs="宋体"/>
          <w:sz w:val="24"/>
        </w:rPr>
        <w:t>联系方式：</w:t>
      </w:r>
      <w:bookmarkStart w:id="14" w:name="EB4c7135abe8d94c059173fcfc77fa7371"/>
      <w:r>
        <w:rPr>
          <w:rFonts w:hint="eastAsia" w:ascii="宋体" w:hAnsi="宋体" w:cs="宋体"/>
          <w:sz w:val="24"/>
        </w:rPr>
        <w:t>马威18762190103</w:t>
      </w:r>
      <w:bookmarkEnd w:id="14"/>
    </w:p>
    <w:p w14:paraId="0D4380FC">
      <w:pPr>
        <w:shd w:val="clear" w:color="030000" w:fill="auto"/>
        <w:spacing w:line="360" w:lineRule="auto"/>
        <w:ind w:firstLine="480" w:firstLineChars="200"/>
        <w:rPr>
          <w:rFonts w:ascii="宋体" w:hAnsi="宋体" w:cs="宋体"/>
          <w:sz w:val="24"/>
        </w:rPr>
      </w:pPr>
      <w:r>
        <w:rPr>
          <w:rFonts w:hint="eastAsia" w:ascii="宋体" w:hAnsi="宋体" w:cs="宋体"/>
          <w:sz w:val="24"/>
        </w:rPr>
        <w:t>2.</w:t>
      </w:r>
      <w:bookmarkEnd w:id="10"/>
      <w:bookmarkEnd w:id="11"/>
      <w:r>
        <w:rPr>
          <w:rFonts w:hint="eastAsia" w:ascii="宋体" w:hAnsi="宋体" w:cs="宋体"/>
          <w:sz w:val="24"/>
        </w:rPr>
        <w:t>采购代理机构信息</w:t>
      </w:r>
    </w:p>
    <w:p w14:paraId="71B7FD9D">
      <w:pPr>
        <w:shd w:val="clear" w:color="030000" w:fill="auto"/>
        <w:spacing w:line="360" w:lineRule="auto"/>
        <w:ind w:firstLine="480" w:firstLineChars="200"/>
        <w:rPr>
          <w:rFonts w:ascii="宋体" w:hAnsi="宋体" w:cs="宋体"/>
          <w:sz w:val="24"/>
        </w:rPr>
      </w:pPr>
      <w:r>
        <w:rPr>
          <w:rFonts w:hint="eastAsia" w:ascii="宋体" w:hAnsi="宋体" w:cs="宋体"/>
          <w:sz w:val="24"/>
        </w:rPr>
        <w:t>名 称：江苏方园项目招标管理有限公司</w:t>
      </w:r>
    </w:p>
    <w:p w14:paraId="3A896779">
      <w:pPr>
        <w:shd w:val="clear" w:color="030000" w:fill="auto"/>
        <w:spacing w:line="360" w:lineRule="auto"/>
        <w:ind w:firstLine="480" w:firstLineChars="200"/>
        <w:rPr>
          <w:rFonts w:ascii="宋体" w:hAnsi="宋体" w:cs="宋体"/>
          <w:sz w:val="24"/>
        </w:rPr>
      </w:pPr>
      <w:r>
        <w:rPr>
          <w:rFonts w:hint="eastAsia" w:ascii="宋体" w:hAnsi="宋体" w:cs="宋体"/>
          <w:sz w:val="24"/>
        </w:rPr>
        <w:t>地　址：宿迁市经济技术开发区世纪大道900号</w:t>
      </w:r>
    </w:p>
    <w:p w14:paraId="4453551D">
      <w:pPr>
        <w:shd w:val="clear" w:color="030000" w:fill="auto"/>
        <w:spacing w:line="360" w:lineRule="auto"/>
        <w:ind w:firstLine="480" w:firstLineChars="200"/>
        <w:rPr>
          <w:rFonts w:ascii="宋体" w:hAnsi="宋体" w:cs="宋体"/>
          <w:sz w:val="24"/>
        </w:rPr>
      </w:pPr>
      <w:r>
        <w:rPr>
          <w:rFonts w:hint="eastAsia" w:ascii="宋体" w:hAnsi="宋体" w:cs="宋体"/>
          <w:sz w:val="24"/>
        </w:rPr>
        <w:t>联系人：毛秀芸</w:t>
      </w:r>
    </w:p>
    <w:p w14:paraId="36317A6D">
      <w:pPr>
        <w:shd w:val="clear" w:color="030000" w:fill="auto"/>
        <w:spacing w:line="360" w:lineRule="auto"/>
        <w:ind w:firstLine="480" w:firstLineChars="200"/>
        <w:rPr>
          <w:rFonts w:ascii="宋体" w:hAnsi="宋体" w:cs="宋体"/>
          <w:sz w:val="24"/>
        </w:rPr>
      </w:pPr>
      <w:r>
        <w:rPr>
          <w:rFonts w:hint="eastAsia" w:ascii="宋体" w:hAnsi="宋体" w:cs="宋体"/>
          <w:sz w:val="24"/>
        </w:rPr>
        <w:t>联系方式：0527-86224338</w:t>
      </w:r>
    </w:p>
    <w:p w14:paraId="7314FBEC">
      <w:pPr>
        <w:shd w:val="clear" w:color="030000" w:fill="auto"/>
        <w:spacing w:line="360" w:lineRule="auto"/>
        <w:ind w:firstLine="480" w:firstLineChars="200"/>
        <w:rPr>
          <w:rFonts w:ascii="宋体" w:hAnsi="宋体" w:cs="宋体"/>
          <w:sz w:val="24"/>
        </w:rPr>
      </w:pPr>
    </w:p>
    <w:p w14:paraId="224D2B5C">
      <w:pPr>
        <w:spacing w:line="800" w:lineRule="exact"/>
        <w:jc w:val="center"/>
        <w:outlineLvl w:val="0"/>
        <w:rPr>
          <w:rFonts w:ascii="宋体" w:hAnsi="宋体" w:cs="宋体"/>
          <w:b/>
          <w:color w:val="000000"/>
          <w:sz w:val="40"/>
          <w:szCs w:val="40"/>
        </w:rPr>
      </w:pPr>
      <w:bookmarkStart w:id="15" w:name="_Toc30769"/>
      <w:bookmarkStart w:id="16" w:name="_Toc30936"/>
      <w:r>
        <w:rPr>
          <w:rFonts w:hint="eastAsia" w:ascii="宋体" w:hAnsi="宋体" w:cs="宋体"/>
          <w:b/>
          <w:color w:val="000000"/>
          <w:sz w:val="40"/>
          <w:szCs w:val="40"/>
        </w:rPr>
        <w:t>第二部分  供应商须知</w:t>
      </w:r>
      <w:bookmarkEnd w:id="15"/>
      <w:bookmarkEnd w:id="16"/>
    </w:p>
    <w:p w14:paraId="05853501">
      <w:pPr>
        <w:rPr>
          <w:rFonts w:ascii="宋体" w:hAnsi="宋体" w:cs="宋体"/>
          <w:b/>
          <w:bCs/>
          <w:sz w:val="24"/>
        </w:rPr>
      </w:pPr>
      <w:r>
        <w:rPr>
          <w:rFonts w:hint="eastAsia" w:ascii="宋体" w:hAnsi="宋体" w:cs="宋体"/>
          <w:b/>
          <w:bCs/>
          <w:sz w:val="24"/>
        </w:rPr>
        <w:t>前附表：</w:t>
      </w:r>
    </w:p>
    <w:tbl>
      <w:tblPr>
        <w:tblStyle w:val="49"/>
        <w:tblW w:w="9202" w:type="dxa"/>
        <w:tblInd w:w="108" w:type="dxa"/>
        <w:tblLayout w:type="fixed"/>
        <w:tblCellMar>
          <w:top w:w="0" w:type="dxa"/>
          <w:left w:w="108" w:type="dxa"/>
          <w:bottom w:w="0" w:type="dxa"/>
          <w:right w:w="108" w:type="dxa"/>
        </w:tblCellMar>
      </w:tblPr>
      <w:tblGrid>
        <w:gridCol w:w="851"/>
        <w:gridCol w:w="8351"/>
      </w:tblGrid>
      <w:tr w14:paraId="07016B06">
        <w:tblPrEx>
          <w:tblCellMar>
            <w:top w:w="0" w:type="dxa"/>
            <w:left w:w="108" w:type="dxa"/>
            <w:bottom w:w="0" w:type="dxa"/>
            <w:right w:w="108" w:type="dxa"/>
          </w:tblCellMar>
        </w:tblPrEx>
        <w:trPr>
          <w:trHeight w:val="545"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624F0CE7">
            <w:pPr>
              <w:spacing w:line="360" w:lineRule="exact"/>
              <w:jc w:val="center"/>
              <w:rPr>
                <w:rFonts w:ascii="宋体" w:hAnsi="宋体" w:cs="宋体"/>
                <w:b/>
                <w:kern w:val="1"/>
                <w:sz w:val="24"/>
              </w:rPr>
            </w:pPr>
            <w:r>
              <w:rPr>
                <w:rFonts w:hint="eastAsia" w:ascii="宋体" w:hAnsi="宋体" w:cs="宋体"/>
                <w:b/>
                <w:kern w:val="1"/>
                <w:sz w:val="24"/>
              </w:rPr>
              <w:t>序号</w:t>
            </w:r>
          </w:p>
        </w:tc>
        <w:tc>
          <w:tcPr>
            <w:tcW w:w="8351" w:type="dxa"/>
            <w:tcBorders>
              <w:top w:val="single" w:color="000000" w:sz="4" w:space="0"/>
              <w:left w:val="single" w:color="000000" w:sz="4" w:space="0"/>
              <w:bottom w:val="single" w:color="000000" w:sz="4" w:space="0"/>
              <w:right w:val="single" w:color="000000" w:sz="4" w:space="0"/>
            </w:tcBorders>
            <w:vAlign w:val="center"/>
          </w:tcPr>
          <w:p w14:paraId="0DAED3D6">
            <w:pPr>
              <w:spacing w:line="360" w:lineRule="exact"/>
              <w:jc w:val="center"/>
              <w:rPr>
                <w:rFonts w:ascii="宋体" w:hAnsi="宋体" w:cs="宋体"/>
                <w:b/>
                <w:kern w:val="1"/>
                <w:sz w:val="24"/>
              </w:rPr>
            </w:pPr>
            <w:r>
              <w:rPr>
                <w:rFonts w:hint="eastAsia" w:ascii="宋体" w:hAnsi="宋体" w:cs="宋体"/>
                <w:b/>
                <w:kern w:val="1"/>
                <w:sz w:val="24"/>
              </w:rPr>
              <w:t>内                         容</w:t>
            </w:r>
          </w:p>
        </w:tc>
      </w:tr>
      <w:tr w14:paraId="24D21659">
        <w:tblPrEx>
          <w:tblCellMar>
            <w:top w:w="0" w:type="dxa"/>
            <w:left w:w="108" w:type="dxa"/>
            <w:bottom w:w="0" w:type="dxa"/>
            <w:right w:w="108" w:type="dxa"/>
          </w:tblCellMar>
        </w:tblPrEx>
        <w:trPr>
          <w:trHeight w:val="756"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5C737415">
            <w:pPr>
              <w:spacing w:line="360" w:lineRule="exact"/>
              <w:jc w:val="center"/>
              <w:rPr>
                <w:rFonts w:ascii="宋体" w:hAnsi="宋体" w:cs="宋体"/>
                <w:kern w:val="1"/>
                <w:sz w:val="28"/>
                <w:szCs w:val="28"/>
              </w:rPr>
            </w:pPr>
            <w:r>
              <w:rPr>
                <w:rFonts w:hint="eastAsia" w:ascii="宋体" w:hAnsi="宋体" w:cs="宋体"/>
                <w:kern w:val="1"/>
                <w:sz w:val="28"/>
                <w:szCs w:val="28"/>
              </w:rPr>
              <w:t>1</w:t>
            </w:r>
          </w:p>
        </w:tc>
        <w:tc>
          <w:tcPr>
            <w:tcW w:w="8351" w:type="dxa"/>
            <w:tcBorders>
              <w:top w:val="single" w:color="000000" w:sz="4" w:space="0"/>
              <w:left w:val="single" w:color="000000" w:sz="4" w:space="0"/>
              <w:bottom w:val="single" w:color="000000" w:sz="4" w:space="0"/>
              <w:right w:val="single" w:color="000000" w:sz="4" w:space="0"/>
            </w:tcBorders>
            <w:vAlign w:val="center"/>
          </w:tcPr>
          <w:p w14:paraId="54393E97">
            <w:pPr>
              <w:spacing w:line="360" w:lineRule="exact"/>
              <w:rPr>
                <w:rFonts w:ascii="宋体" w:hAnsi="宋体" w:cs="宋体"/>
                <w:sz w:val="24"/>
              </w:rPr>
            </w:pPr>
            <w:r>
              <w:rPr>
                <w:rFonts w:hint="eastAsia" w:ascii="宋体" w:hAnsi="宋体" w:cs="宋体"/>
                <w:kern w:val="1"/>
                <w:sz w:val="24"/>
              </w:rPr>
              <w:t>（1）项目名称：</w:t>
            </w:r>
            <w:r>
              <w:rPr>
                <w:rFonts w:hint="eastAsia" w:ascii="宋体" w:hAnsi="宋体" w:cs="宋体"/>
                <w:sz w:val="24"/>
              </w:rPr>
              <w:t xml:space="preserve">宿迁市宿城区龙河人民医院后勤服务采购项目 </w:t>
            </w:r>
          </w:p>
          <w:p w14:paraId="33231573">
            <w:pPr>
              <w:spacing w:line="360" w:lineRule="exact"/>
              <w:rPr>
                <w:rFonts w:ascii="宋体" w:hAnsi="宋体" w:cs="宋体"/>
                <w:kern w:val="1"/>
                <w:sz w:val="24"/>
              </w:rPr>
            </w:pPr>
            <w:r>
              <w:rPr>
                <w:rFonts w:hint="eastAsia" w:ascii="宋体" w:hAnsi="宋体" w:cs="宋体"/>
                <w:kern w:val="1"/>
                <w:sz w:val="24"/>
              </w:rPr>
              <w:t>（2）项目编号：</w:t>
            </w:r>
            <w:r>
              <w:rPr>
                <w:rFonts w:hint="eastAsia" w:ascii="宋体" w:hAnsi="宋体" w:cs="宋体"/>
                <w:sz w:val="24"/>
              </w:rPr>
              <w:t>JSZC-321302-JSFY-G2024-0015</w:t>
            </w:r>
          </w:p>
          <w:p w14:paraId="63FABA83">
            <w:pPr>
              <w:spacing w:line="360" w:lineRule="exact"/>
              <w:rPr>
                <w:rFonts w:ascii="宋体" w:hAnsi="宋体" w:cs="宋体"/>
                <w:kern w:val="1"/>
                <w:sz w:val="24"/>
              </w:rPr>
            </w:pPr>
            <w:r>
              <w:rPr>
                <w:rFonts w:hint="eastAsia" w:ascii="宋体" w:hAnsi="宋体" w:cs="宋体"/>
                <w:kern w:val="1"/>
                <w:sz w:val="24"/>
              </w:rPr>
              <w:t>（3）</w:t>
            </w:r>
            <w:r>
              <w:rPr>
                <w:rFonts w:hint="eastAsia" w:ascii="宋体" w:hAnsi="宋体" w:cs="宋体"/>
                <w:bCs/>
                <w:kern w:val="1"/>
                <w:sz w:val="24"/>
              </w:rPr>
              <w:t>资金来源：财政资金</w:t>
            </w:r>
          </w:p>
        </w:tc>
      </w:tr>
      <w:tr w14:paraId="6AE8B6E0">
        <w:tblPrEx>
          <w:tblCellMar>
            <w:top w:w="0" w:type="dxa"/>
            <w:left w:w="108" w:type="dxa"/>
            <w:bottom w:w="0" w:type="dxa"/>
            <w:right w:w="108" w:type="dxa"/>
          </w:tblCellMar>
        </w:tblPrEx>
        <w:trPr>
          <w:trHeight w:val="484"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173F">
            <w:pPr>
              <w:spacing w:line="360" w:lineRule="exact"/>
              <w:ind w:firstLine="280" w:firstLineChars="100"/>
              <w:rPr>
                <w:rFonts w:ascii="宋体" w:hAnsi="宋体" w:cs="宋体"/>
                <w:bCs/>
                <w:kern w:val="1"/>
                <w:sz w:val="24"/>
              </w:rPr>
            </w:pPr>
            <w:r>
              <w:rPr>
                <w:rFonts w:hint="eastAsia" w:ascii="宋体" w:hAnsi="宋体" w:cs="宋体"/>
                <w:kern w:val="1"/>
                <w:sz w:val="28"/>
                <w:szCs w:val="28"/>
              </w:rPr>
              <w:t>2</w:t>
            </w:r>
          </w:p>
        </w:tc>
        <w:tc>
          <w:tcPr>
            <w:tcW w:w="8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873B">
            <w:pPr>
              <w:spacing w:line="360" w:lineRule="exact"/>
              <w:rPr>
                <w:rFonts w:ascii="宋体" w:hAnsi="宋体" w:cs="宋体"/>
                <w:bCs/>
                <w:kern w:val="1"/>
                <w:sz w:val="24"/>
              </w:rPr>
            </w:pPr>
            <w:r>
              <w:rPr>
                <w:rFonts w:hint="eastAsia" w:ascii="宋体" w:hAnsi="宋体" w:cs="宋体"/>
                <w:b/>
                <w:kern w:val="1"/>
                <w:sz w:val="24"/>
              </w:rPr>
              <w:t>项目属性：</w:t>
            </w:r>
            <w:r>
              <w:rPr>
                <w:rFonts w:hint="eastAsia" w:ascii="宋体" w:hAnsi="宋体" w:cs="宋体"/>
                <w:b/>
                <w:bCs/>
                <w:kern w:val="1"/>
                <w:sz w:val="24"/>
              </w:rPr>
              <w:sym w:font="Wingdings 2" w:char="00A3"/>
            </w:r>
            <w:r>
              <w:rPr>
                <w:rFonts w:hint="eastAsia" w:ascii="宋体" w:hAnsi="宋体" w:cs="宋体"/>
                <w:bCs/>
                <w:kern w:val="1"/>
                <w:sz w:val="24"/>
              </w:rPr>
              <w:t xml:space="preserve">货物  </w:t>
            </w:r>
            <w:r>
              <w:rPr>
                <w:rFonts w:hint="eastAsia" w:ascii="宋体" w:hAnsi="宋体" w:cs="宋体"/>
                <w:bCs/>
                <w:kern w:val="1"/>
                <w:sz w:val="24"/>
              </w:rPr>
              <w:sym w:font="Wingdings 2" w:char="00A3"/>
            </w:r>
            <w:r>
              <w:rPr>
                <w:rFonts w:hint="eastAsia" w:ascii="宋体" w:hAnsi="宋体" w:cs="宋体"/>
                <w:bCs/>
                <w:kern w:val="1"/>
                <w:sz w:val="24"/>
              </w:rPr>
              <w:t xml:space="preserve">工程  </w:t>
            </w:r>
            <w:r>
              <w:rPr>
                <w:rFonts w:hint="eastAsia" w:ascii="宋体" w:hAnsi="宋体" w:cs="宋体"/>
                <w:bCs/>
                <w:kern w:val="1"/>
                <w:sz w:val="24"/>
              </w:rPr>
              <w:sym w:font="Wingdings 2" w:char="0052"/>
            </w:r>
            <w:r>
              <w:rPr>
                <w:rFonts w:hint="eastAsia" w:ascii="宋体" w:hAnsi="宋体" w:cs="宋体"/>
                <w:bCs/>
                <w:kern w:val="1"/>
                <w:sz w:val="24"/>
              </w:rPr>
              <w:t>服务</w:t>
            </w:r>
          </w:p>
        </w:tc>
      </w:tr>
      <w:tr w14:paraId="4810CA2F">
        <w:tblPrEx>
          <w:tblCellMar>
            <w:top w:w="0" w:type="dxa"/>
            <w:left w:w="108" w:type="dxa"/>
            <w:bottom w:w="0" w:type="dxa"/>
            <w:right w:w="108" w:type="dxa"/>
          </w:tblCellMar>
        </w:tblPrEx>
        <w:trPr>
          <w:trHeight w:val="640"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7CBCA469">
            <w:pPr>
              <w:spacing w:line="360" w:lineRule="exact"/>
              <w:jc w:val="center"/>
              <w:rPr>
                <w:rFonts w:ascii="宋体" w:hAnsi="宋体" w:cs="宋体"/>
                <w:kern w:val="1"/>
                <w:sz w:val="28"/>
                <w:szCs w:val="28"/>
              </w:rPr>
            </w:pPr>
            <w:r>
              <w:rPr>
                <w:rFonts w:hint="eastAsia" w:ascii="宋体" w:hAnsi="宋体" w:cs="宋体"/>
                <w:kern w:val="1"/>
                <w:sz w:val="28"/>
                <w:szCs w:val="28"/>
              </w:rPr>
              <w:t>3</w:t>
            </w:r>
          </w:p>
        </w:tc>
        <w:tc>
          <w:tcPr>
            <w:tcW w:w="8351" w:type="dxa"/>
            <w:tcBorders>
              <w:top w:val="single" w:color="000000" w:sz="4" w:space="0"/>
              <w:left w:val="single" w:color="000000" w:sz="4" w:space="0"/>
              <w:bottom w:val="single" w:color="000000" w:sz="4" w:space="0"/>
              <w:right w:val="single" w:color="000000" w:sz="4" w:space="0"/>
            </w:tcBorders>
            <w:vAlign w:val="center"/>
          </w:tcPr>
          <w:p w14:paraId="6BFC45DB">
            <w:pPr>
              <w:spacing w:line="360" w:lineRule="exact"/>
              <w:rPr>
                <w:rFonts w:ascii="宋体" w:hAnsi="宋体" w:cs="宋体"/>
                <w:kern w:val="1"/>
                <w:sz w:val="24"/>
              </w:rPr>
            </w:pPr>
            <w:r>
              <w:rPr>
                <w:rFonts w:hint="eastAsia" w:ascii="宋体" w:hAnsi="宋体" w:cs="宋体"/>
                <w:b/>
                <w:kern w:val="1"/>
                <w:sz w:val="24"/>
              </w:rPr>
              <w:t>响应文件有效期：</w:t>
            </w:r>
            <w:r>
              <w:rPr>
                <w:rFonts w:hint="eastAsia" w:ascii="宋体" w:hAnsi="宋体" w:cs="宋体"/>
                <w:kern w:val="1"/>
                <w:sz w:val="24"/>
              </w:rPr>
              <w:t>供应商提交响应文件截止之日起</w:t>
            </w:r>
            <w:r>
              <w:rPr>
                <w:rFonts w:hint="eastAsia" w:ascii="宋体" w:hAnsi="宋体" w:cs="宋体"/>
                <w:kern w:val="1"/>
                <w:sz w:val="24"/>
                <w:u w:val="single"/>
              </w:rPr>
              <w:t xml:space="preserve"> 60</w:t>
            </w:r>
            <w:r>
              <w:rPr>
                <w:rFonts w:hint="eastAsia" w:ascii="宋体" w:hAnsi="宋体" w:cs="宋体"/>
                <w:kern w:val="1"/>
                <w:sz w:val="24"/>
              </w:rPr>
              <w:t>天。</w:t>
            </w:r>
          </w:p>
        </w:tc>
      </w:tr>
      <w:tr w14:paraId="64CC25C7">
        <w:tblPrEx>
          <w:tblCellMar>
            <w:top w:w="0" w:type="dxa"/>
            <w:left w:w="108" w:type="dxa"/>
            <w:bottom w:w="0" w:type="dxa"/>
            <w:right w:w="108" w:type="dxa"/>
          </w:tblCellMar>
        </w:tblPrEx>
        <w:trPr>
          <w:trHeight w:val="640"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47294F01">
            <w:pPr>
              <w:spacing w:line="360" w:lineRule="exact"/>
              <w:jc w:val="center"/>
              <w:rPr>
                <w:rFonts w:ascii="宋体" w:hAnsi="宋体" w:cs="宋体"/>
                <w:kern w:val="1"/>
                <w:sz w:val="28"/>
                <w:szCs w:val="28"/>
              </w:rPr>
            </w:pPr>
            <w:r>
              <w:rPr>
                <w:rFonts w:hint="eastAsia" w:ascii="宋体" w:hAnsi="宋体" w:cs="宋体"/>
                <w:kern w:val="1"/>
                <w:sz w:val="28"/>
                <w:szCs w:val="28"/>
              </w:rPr>
              <w:t>4</w:t>
            </w:r>
          </w:p>
        </w:tc>
        <w:tc>
          <w:tcPr>
            <w:tcW w:w="8351" w:type="dxa"/>
            <w:tcBorders>
              <w:top w:val="single" w:color="000000" w:sz="4" w:space="0"/>
              <w:left w:val="single" w:color="000000" w:sz="4" w:space="0"/>
              <w:bottom w:val="single" w:color="000000" w:sz="4" w:space="0"/>
              <w:right w:val="single" w:color="000000" w:sz="4" w:space="0"/>
            </w:tcBorders>
            <w:vAlign w:val="center"/>
          </w:tcPr>
          <w:p w14:paraId="36D6AD89">
            <w:pPr>
              <w:spacing w:line="360" w:lineRule="exact"/>
              <w:rPr>
                <w:rFonts w:ascii="宋体" w:hAnsi="宋体" w:cs="宋体"/>
                <w:b/>
                <w:kern w:val="1"/>
                <w:sz w:val="24"/>
              </w:rPr>
            </w:pPr>
            <w:r>
              <w:rPr>
                <w:rFonts w:hint="eastAsia" w:ascii="宋体" w:hAnsi="宋体" w:cs="宋体"/>
                <w:b/>
                <w:bCs/>
                <w:kern w:val="0"/>
                <w:sz w:val="24"/>
              </w:rPr>
              <w:t>谈判保证金人民币</w:t>
            </w:r>
            <w:r>
              <w:rPr>
                <w:rFonts w:hint="eastAsia" w:ascii="宋体" w:hAnsi="宋体" w:cs="宋体"/>
                <w:kern w:val="0"/>
                <w:sz w:val="24"/>
              </w:rPr>
              <w:t>：本项目不收取谈判保证金。</w:t>
            </w:r>
          </w:p>
        </w:tc>
      </w:tr>
      <w:tr w14:paraId="65A92847">
        <w:tblPrEx>
          <w:tblCellMar>
            <w:top w:w="0" w:type="dxa"/>
            <w:left w:w="108" w:type="dxa"/>
            <w:bottom w:w="0" w:type="dxa"/>
            <w:right w:w="108" w:type="dxa"/>
          </w:tblCellMar>
        </w:tblPrEx>
        <w:trPr>
          <w:trHeight w:val="570"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06D2284D">
            <w:pPr>
              <w:spacing w:line="360" w:lineRule="exact"/>
              <w:jc w:val="center"/>
              <w:rPr>
                <w:rFonts w:ascii="宋体" w:hAnsi="宋体" w:cs="宋体"/>
                <w:kern w:val="1"/>
                <w:sz w:val="28"/>
                <w:szCs w:val="28"/>
              </w:rPr>
            </w:pPr>
            <w:r>
              <w:rPr>
                <w:rFonts w:hint="eastAsia" w:ascii="宋体" w:hAnsi="宋体" w:cs="宋体"/>
                <w:kern w:val="1"/>
                <w:sz w:val="28"/>
                <w:szCs w:val="28"/>
              </w:rPr>
              <w:t>5</w:t>
            </w:r>
          </w:p>
        </w:tc>
        <w:tc>
          <w:tcPr>
            <w:tcW w:w="8351" w:type="dxa"/>
            <w:tcBorders>
              <w:top w:val="single" w:color="000000" w:sz="4" w:space="0"/>
              <w:left w:val="single" w:color="000000" w:sz="4" w:space="0"/>
              <w:right w:val="single" w:color="000000" w:sz="4" w:space="0"/>
            </w:tcBorders>
            <w:vAlign w:val="center"/>
          </w:tcPr>
          <w:p w14:paraId="4760BFC1">
            <w:pPr>
              <w:spacing w:line="360" w:lineRule="exact"/>
              <w:rPr>
                <w:rFonts w:ascii="宋体" w:hAnsi="宋体" w:cs="宋体"/>
                <w:b/>
                <w:kern w:val="1"/>
                <w:sz w:val="24"/>
              </w:rPr>
            </w:pPr>
            <w:r>
              <w:rPr>
                <w:rFonts w:hint="eastAsia" w:ascii="宋体" w:hAnsi="宋体" w:cs="宋体"/>
                <w:kern w:val="0"/>
                <w:sz w:val="24"/>
              </w:rPr>
              <w:t>响应文件份数：</w:t>
            </w:r>
            <w:r>
              <w:rPr>
                <w:rFonts w:hint="eastAsia" w:ascii="宋体" w:hAnsi="宋体" w:cs="宋体"/>
                <w:b/>
                <w:bCs/>
                <w:color w:val="FF0000"/>
                <w:kern w:val="0"/>
                <w:sz w:val="24"/>
              </w:rPr>
              <w:t>纸质正本一份，副本二份，电子版一份（U盘提供不退，加盖供应商印章和签名，电子版响应文件必须和纸质版响应文件一致）</w:t>
            </w:r>
            <w:r>
              <w:rPr>
                <w:rFonts w:hint="eastAsia" w:ascii="宋体" w:hAnsi="宋体" w:cs="宋体"/>
                <w:kern w:val="0"/>
                <w:sz w:val="24"/>
              </w:rPr>
              <w:t>。</w:t>
            </w:r>
          </w:p>
        </w:tc>
      </w:tr>
      <w:tr w14:paraId="0DE6D68B">
        <w:tblPrEx>
          <w:tblCellMar>
            <w:top w:w="0" w:type="dxa"/>
            <w:left w:w="108" w:type="dxa"/>
            <w:bottom w:w="0" w:type="dxa"/>
            <w:right w:w="108" w:type="dxa"/>
          </w:tblCellMar>
        </w:tblPrEx>
        <w:trPr>
          <w:trHeight w:val="430"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257B0B7A">
            <w:pPr>
              <w:spacing w:line="360" w:lineRule="exact"/>
              <w:jc w:val="center"/>
              <w:rPr>
                <w:rFonts w:ascii="宋体" w:hAnsi="宋体" w:cs="宋体"/>
                <w:kern w:val="1"/>
                <w:sz w:val="28"/>
                <w:szCs w:val="28"/>
              </w:rPr>
            </w:pPr>
            <w:r>
              <w:rPr>
                <w:rFonts w:hint="eastAsia" w:ascii="宋体" w:hAnsi="宋体" w:cs="宋体"/>
                <w:kern w:val="1"/>
                <w:sz w:val="28"/>
                <w:szCs w:val="28"/>
              </w:rPr>
              <w:t>6</w:t>
            </w:r>
          </w:p>
        </w:tc>
        <w:tc>
          <w:tcPr>
            <w:tcW w:w="8351" w:type="dxa"/>
            <w:tcBorders>
              <w:top w:val="single" w:color="000000" w:sz="4" w:space="0"/>
              <w:left w:val="single" w:color="000000" w:sz="4" w:space="0"/>
              <w:bottom w:val="single" w:color="000000" w:sz="4" w:space="0"/>
              <w:right w:val="single" w:color="000000" w:sz="4" w:space="0"/>
            </w:tcBorders>
            <w:vAlign w:val="center"/>
          </w:tcPr>
          <w:p w14:paraId="7C741F6F">
            <w:pPr>
              <w:spacing w:line="360" w:lineRule="exact"/>
              <w:rPr>
                <w:rFonts w:ascii="宋体" w:hAnsi="宋体" w:cs="宋体"/>
                <w:kern w:val="1"/>
                <w:sz w:val="24"/>
              </w:rPr>
            </w:pPr>
            <w:r>
              <w:rPr>
                <w:rFonts w:hint="eastAsia" w:ascii="宋体" w:hAnsi="宋体" w:cs="宋体"/>
                <w:b/>
                <w:bCs/>
                <w:iCs/>
                <w:kern w:val="1"/>
                <w:sz w:val="24"/>
              </w:rPr>
              <w:t>谈判时须携带资料</w:t>
            </w:r>
            <w:r>
              <w:rPr>
                <w:rFonts w:hint="eastAsia" w:ascii="宋体" w:hAnsi="宋体" w:cs="宋体"/>
                <w:bCs/>
                <w:iCs/>
                <w:kern w:val="1"/>
                <w:sz w:val="24"/>
              </w:rPr>
              <w:t>：</w:t>
            </w:r>
            <w:r>
              <w:rPr>
                <w:rFonts w:hint="eastAsia" w:ascii="宋体" w:hAnsi="宋体" w:cs="宋体"/>
                <w:kern w:val="0"/>
                <w:sz w:val="24"/>
              </w:rPr>
              <w:t>供应商须在规定的时间和地点准时参加谈判，并在响应文件接收截止时间前提供以下资料：（1）响应文件；（2）法人代表身份证（或被授权人身份证）原件；（3）法人代表身份证明书或法人授权委托书原件</w:t>
            </w:r>
            <w:r>
              <w:rPr>
                <w:rFonts w:hint="eastAsia" w:ascii="宋体" w:hAnsi="宋体" w:cs="宋体"/>
                <w:sz w:val="24"/>
              </w:rPr>
              <w:t>。</w:t>
            </w:r>
          </w:p>
        </w:tc>
      </w:tr>
      <w:tr w14:paraId="5BEDF0B9">
        <w:tblPrEx>
          <w:tblCellMar>
            <w:top w:w="0" w:type="dxa"/>
            <w:left w:w="108" w:type="dxa"/>
            <w:bottom w:w="0" w:type="dxa"/>
            <w:right w:w="108" w:type="dxa"/>
          </w:tblCellMar>
        </w:tblPrEx>
        <w:trPr>
          <w:trHeight w:val="430"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6BC157A7">
            <w:pPr>
              <w:spacing w:line="360" w:lineRule="exact"/>
              <w:jc w:val="center"/>
              <w:rPr>
                <w:rFonts w:ascii="宋体" w:hAnsi="宋体" w:cs="宋体"/>
                <w:kern w:val="1"/>
                <w:sz w:val="28"/>
                <w:szCs w:val="28"/>
              </w:rPr>
            </w:pPr>
            <w:r>
              <w:rPr>
                <w:rFonts w:hint="eastAsia" w:ascii="宋体" w:hAnsi="宋体" w:cs="宋体"/>
                <w:kern w:val="1"/>
                <w:sz w:val="28"/>
                <w:szCs w:val="28"/>
              </w:rPr>
              <w:t>7</w:t>
            </w:r>
          </w:p>
        </w:tc>
        <w:tc>
          <w:tcPr>
            <w:tcW w:w="8351" w:type="dxa"/>
            <w:tcBorders>
              <w:top w:val="single" w:color="000000" w:sz="4" w:space="0"/>
              <w:left w:val="single" w:color="000000" w:sz="4" w:space="0"/>
              <w:bottom w:val="single" w:color="000000" w:sz="4" w:space="0"/>
              <w:right w:val="single" w:color="000000" w:sz="4" w:space="0"/>
            </w:tcBorders>
            <w:vAlign w:val="center"/>
          </w:tcPr>
          <w:p w14:paraId="734C949B">
            <w:pPr>
              <w:spacing w:line="360" w:lineRule="exact"/>
              <w:rPr>
                <w:rFonts w:ascii="宋体" w:hAnsi="宋体" w:cs="宋体"/>
                <w:kern w:val="1"/>
                <w:sz w:val="24"/>
              </w:rPr>
            </w:pPr>
            <w:r>
              <w:rPr>
                <w:rFonts w:hint="eastAsia" w:ascii="宋体" w:hAnsi="宋体" w:cs="宋体"/>
                <w:b/>
                <w:bCs/>
                <w:iCs/>
                <w:kern w:val="1"/>
                <w:sz w:val="24"/>
              </w:rPr>
              <w:t>代理服务费用：</w:t>
            </w:r>
            <w:r>
              <w:rPr>
                <w:rFonts w:hint="eastAsia" w:ascii="宋体" w:hAnsi="宋体" w:cs="宋体"/>
                <w:kern w:val="0"/>
                <w:sz w:val="24"/>
                <w:highlight w:val="yellow"/>
              </w:rPr>
              <w:t>由成交供应商缴纳</w:t>
            </w:r>
            <w:r>
              <w:rPr>
                <w:rFonts w:hint="eastAsia" w:ascii="宋体" w:hAnsi="宋体" w:cs="宋体"/>
                <w:kern w:val="0"/>
                <w:sz w:val="24"/>
              </w:rPr>
              <w:t>。标准为苏招协〔2022〕002号文规定收取，评审费按实收取。</w:t>
            </w:r>
          </w:p>
        </w:tc>
      </w:tr>
      <w:tr w14:paraId="0A0F50BE">
        <w:tblPrEx>
          <w:tblCellMar>
            <w:top w:w="0" w:type="dxa"/>
            <w:left w:w="108" w:type="dxa"/>
            <w:bottom w:w="0" w:type="dxa"/>
            <w:right w:w="108" w:type="dxa"/>
          </w:tblCellMar>
        </w:tblPrEx>
        <w:trPr>
          <w:trHeight w:val="722"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5238D122">
            <w:pPr>
              <w:spacing w:line="360" w:lineRule="exact"/>
              <w:jc w:val="center"/>
              <w:rPr>
                <w:rFonts w:ascii="宋体" w:hAnsi="宋体" w:cs="宋体"/>
                <w:kern w:val="1"/>
                <w:sz w:val="28"/>
                <w:szCs w:val="28"/>
              </w:rPr>
            </w:pPr>
            <w:r>
              <w:rPr>
                <w:rFonts w:hint="eastAsia" w:ascii="宋体" w:hAnsi="宋体" w:cs="宋体"/>
                <w:kern w:val="1"/>
                <w:sz w:val="28"/>
                <w:szCs w:val="28"/>
              </w:rPr>
              <w:t>8</w:t>
            </w:r>
          </w:p>
        </w:tc>
        <w:tc>
          <w:tcPr>
            <w:tcW w:w="8351" w:type="dxa"/>
            <w:tcBorders>
              <w:top w:val="single" w:color="000000" w:sz="4" w:space="0"/>
              <w:left w:val="single" w:color="000000" w:sz="4" w:space="0"/>
              <w:bottom w:val="single" w:color="000000" w:sz="4" w:space="0"/>
              <w:right w:val="single" w:color="000000" w:sz="4" w:space="0"/>
            </w:tcBorders>
            <w:vAlign w:val="center"/>
          </w:tcPr>
          <w:p w14:paraId="68BBDCB7">
            <w:pPr>
              <w:spacing w:line="360" w:lineRule="exact"/>
              <w:rPr>
                <w:rFonts w:ascii="宋体" w:hAnsi="宋体" w:cs="宋体"/>
                <w:sz w:val="24"/>
              </w:rPr>
            </w:pPr>
            <w:r>
              <w:rPr>
                <w:rFonts w:hint="eastAsia" w:ascii="宋体" w:hAnsi="宋体" w:cs="宋体"/>
                <w:b/>
                <w:bCs/>
                <w:sz w:val="24"/>
              </w:rPr>
              <w:t>本项目最高限价：</w:t>
            </w:r>
            <w:r>
              <w:rPr>
                <w:rFonts w:hint="eastAsia" w:ascii="宋体" w:hAnsi="宋体" w:cs="宋体"/>
                <w:sz w:val="24"/>
              </w:rPr>
              <w:t>捌拾万元整（</w:t>
            </w:r>
            <w:r>
              <w:rPr>
                <w:rFonts w:hint="eastAsia" w:ascii="宋体" w:hAnsi="宋体" w:cs="宋体"/>
                <w:sz w:val="24"/>
                <w:lang w:val="zh-CN"/>
              </w:rPr>
              <w:t>¥</w:t>
            </w:r>
            <w:r>
              <w:rPr>
                <w:rFonts w:ascii="宋体" w:hAnsi="宋体" w:cs="宋体"/>
                <w:sz w:val="24"/>
              </w:rPr>
              <w:t>800000</w:t>
            </w:r>
            <w:r>
              <w:rPr>
                <w:rFonts w:hint="eastAsia" w:ascii="宋体" w:hAnsi="宋体" w:cs="宋体"/>
                <w:sz w:val="24"/>
              </w:rPr>
              <w:t>.00），采购人不接受高于此限价的响应文件。</w:t>
            </w:r>
          </w:p>
        </w:tc>
      </w:tr>
      <w:tr w14:paraId="74667986">
        <w:tblPrEx>
          <w:tblCellMar>
            <w:top w:w="0" w:type="dxa"/>
            <w:left w:w="108" w:type="dxa"/>
            <w:bottom w:w="0" w:type="dxa"/>
            <w:right w:w="108" w:type="dxa"/>
          </w:tblCellMar>
        </w:tblPrEx>
        <w:trPr>
          <w:trHeight w:val="430"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089950F5">
            <w:pPr>
              <w:spacing w:line="360" w:lineRule="exact"/>
              <w:jc w:val="center"/>
              <w:rPr>
                <w:rFonts w:ascii="宋体" w:hAnsi="宋体" w:cs="宋体"/>
                <w:kern w:val="1"/>
                <w:sz w:val="24"/>
              </w:rPr>
            </w:pPr>
            <w:r>
              <w:rPr>
                <w:rFonts w:hint="eastAsia" w:ascii="宋体" w:hAnsi="宋体" w:cs="宋体"/>
                <w:kern w:val="1"/>
                <w:sz w:val="24"/>
              </w:rPr>
              <w:t>9</w:t>
            </w:r>
          </w:p>
        </w:tc>
        <w:tc>
          <w:tcPr>
            <w:tcW w:w="8351" w:type="dxa"/>
            <w:tcBorders>
              <w:top w:val="single" w:color="000000" w:sz="4" w:space="0"/>
              <w:left w:val="single" w:color="000000" w:sz="4" w:space="0"/>
              <w:bottom w:val="single" w:color="000000" w:sz="4" w:space="0"/>
              <w:right w:val="single" w:color="000000" w:sz="4" w:space="0"/>
            </w:tcBorders>
            <w:vAlign w:val="center"/>
          </w:tcPr>
          <w:p w14:paraId="7CC388DD">
            <w:pPr>
              <w:spacing w:line="360" w:lineRule="exact"/>
              <w:rPr>
                <w:rFonts w:ascii="宋体" w:hAnsi="宋体" w:cs="宋体"/>
                <w:kern w:val="1"/>
                <w:sz w:val="24"/>
              </w:rPr>
            </w:pPr>
            <w:r>
              <w:rPr>
                <w:rFonts w:hint="eastAsia" w:ascii="宋体" w:hAnsi="宋体" w:cs="宋体"/>
                <w:b/>
                <w:bCs/>
                <w:kern w:val="1"/>
                <w:sz w:val="24"/>
              </w:rPr>
              <w:t>成交原则：</w:t>
            </w:r>
            <w:r>
              <w:rPr>
                <w:rFonts w:hint="eastAsia" w:ascii="宋体" w:hAnsi="宋体" w:cs="宋体"/>
                <w:kern w:val="1"/>
                <w:sz w:val="24"/>
              </w:rPr>
              <w:t>根据符合采购需求、质量和服务相等且报价最低的原则确定成交供应商。</w:t>
            </w:r>
          </w:p>
        </w:tc>
      </w:tr>
      <w:tr w14:paraId="0C44049E">
        <w:tblPrEx>
          <w:tblCellMar>
            <w:top w:w="0" w:type="dxa"/>
            <w:left w:w="108" w:type="dxa"/>
            <w:bottom w:w="0" w:type="dxa"/>
            <w:right w:w="108" w:type="dxa"/>
          </w:tblCellMar>
        </w:tblPrEx>
        <w:trPr>
          <w:trHeight w:val="430"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1A50F19C">
            <w:pPr>
              <w:spacing w:line="360" w:lineRule="exact"/>
              <w:jc w:val="center"/>
              <w:rPr>
                <w:rFonts w:ascii="宋体" w:hAnsi="宋体" w:cs="宋体"/>
                <w:kern w:val="1"/>
                <w:sz w:val="24"/>
              </w:rPr>
            </w:pPr>
            <w:r>
              <w:rPr>
                <w:rFonts w:hint="eastAsia" w:ascii="宋体" w:hAnsi="宋体" w:cs="宋体"/>
                <w:kern w:val="1"/>
                <w:sz w:val="24"/>
              </w:rPr>
              <w:t>10</w:t>
            </w:r>
          </w:p>
        </w:tc>
        <w:tc>
          <w:tcPr>
            <w:tcW w:w="8351" w:type="dxa"/>
            <w:tcBorders>
              <w:top w:val="single" w:color="000000" w:sz="4" w:space="0"/>
              <w:left w:val="single" w:color="000000" w:sz="4" w:space="0"/>
              <w:bottom w:val="single" w:color="000000" w:sz="4" w:space="0"/>
              <w:right w:val="single" w:color="000000" w:sz="4" w:space="0"/>
            </w:tcBorders>
            <w:vAlign w:val="center"/>
          </w:tcPr>
          <w:p w14:paraId="2E519EC0">
            <w:pPr>
              <w:spacing w:line="360" w:lineRule="exact"/>
              <w:rPr>
                <w:rFonts w:ascii="宋体" w:hAnsi="宋体" w:cs="宋体"/>
                <w:b/>
                <w:bCs/>
                <w:kern w:val="1"/>
                <w:sz w:val="24"/>
              </w:rPr>
            </w:pPr>
            <w:r>
              <w:rPr>
                <w:rFonts w:hint="eastAsia" w:ascii="宋体" w:hAnsi="宋体" w:cs="宋体"/>
                <w:b/>
                <w:bCs/>
                <w:kern w:val="1"/>
                <w:sz w:val="24"/>
              </w:rPr>
              <w:t>分包：不</w:t>
            </w:r>
            <w:r>
              <w:rPr>
                <w:rFonts w:hint="eastAsia" w:ascii="宋体" w:hAnsi="宋体" w:cs="宋体"/>
                <w:kern w:val="1"/>
                <w:sz w:val="24"/>
              </w:rPr>
              <w:t>允许分包。</w:t>
            </w:r>
          </w:p>
        </w:tc>
      </w:tr>
      <w:tr w14:paraId="3C743CEA">
        <w:tblPrEx>
          <w:tblCellMar>
            <w:top w:w="0" w:type="dxa"/>
            <w:left w:w="108" w:type="dxa"/>
            <w:bottom w:w="0" w:type="dxa"/>
            <w:right w:w="108" w:type="dxa"/>
          </w:tblCellMar>
        </w:tblPrEx>
        <w:trPr>
          <w:trHeight w:val="462" w:hRule="atLeast"/>
        </w:trPr>
        <w:tc>
          <w:tcPr>
            <w:tcW w:w="851" w:type="dxa"/>
            <w:tcBorders>
              <w:top w:val="single" w:color="auto" w:sz="4" w:space="0"/>
              <w:left w:val="single" w:color="000000" w:sz="4" w:space="0"/>
              <w:bottom w:val="single" w:color="auto" w:sz="4" w:space="0"/>
              <w:right w:val="single" w:color="000000" w:sz="4" w:space="0"/>
            </w:tcBorders>
            <w:vAlign w:val="center"/>
          </w:tcPr>
          <w:p w14:paraId="2871E536">
            <w:pPr>
              <w:spacing w:line="360" w:lineRule="exact"/>
              <w:jc w:val="center"/>
              <w:rPr>
                <w:rFonts w:ascii="宋体" w:hAnsi="宋体" w:cs="宋体"/>
                <w:kern w:val="1"/>
                <w:sz w:val="28"/>
                <w:szCs w:val="28"/>
              </w:rPr>
            </w:pPr>
            <w:r>
              <w:rPr>
                <w:rFonts w:hint="eastAsia" w:ascii="宋体" w:hAnsi="宋体" w:cs="宋体"/>
                <w:kern w:val="1"/>
                <w:sz w:val="28"/>
                <w:szCs w:val="28"/>
              </w:rPr>
              <w:t>11</w:t>
            </w:r>
          </w:p>
        </w:tc>
        <w:tc>
          <w:tcPr>
            <w:tcW w:w="8351" w:type="dxa"/>
            <w:tcBorders>
              <w:top w:val="single" w:color="auto" w:sz="4" w:space="0"/>
              <w:left w:val="single" w:color="000000" w:sz="4" w:space="0"/>
              <w:bottom w:val="single" w:color="auto" w:sz="4" w:space="0"/>
              <w:right w:val="single" w:color="000000" w:sz="4" w:space="0"/>
            </w:tcBorders>
            <w:vAlign w:val="center"/>
          </w:tcPr>
          <w:p w14:paraId="34730ADB">
            <w:pPr>
              <w:spacing w:line="360" w:lineRule="exact"/>
              <w:rPr>
                <w:rFonts w:ascii="宋体" w:hAnsi="宋体" w:cs="宋体"/>
                <w:b/>
                <w:kern w:val="1"/>
                <w:sz w:val="24"/>
              </w:rPr>
            </w:pPr>
            <w:r>
              <w:rPr>
                <w:rFonts w:hint="eastAsia" w:ascii="宋体" w:hAnsi="宋体" w:cs="宋体"/>
                <w:b/>
                <w:sz w:val="24"/>
              </w:rPr>
              <w:t>现场踏勘：</w:t>
            </w:r>
            <w:r>
              <w:rPr>
                <w:rFonts w:hint="eastAsia" w:ascii="宋体" w:hAnsi="宋体" w:cs="宋体"/>
                <w:sz w:val="24"/>
              </w:rPr>
              <w:t>自行踏勘，因踏勘不仔细或未踏勘造成的损失自负。</w:t>
            </w:r>
          </w:p>
        </w:tc>
      </w:tr>
      <w:tr w14:paraId="1E6781FC">
        <w:tblPrEx>
          <w:tblCellMar>
            <w:top w:w="0" w:type="dxa"/>
            <w:left w:w="108" w:type="dxa"/>
            <w:bottom w:w="0" w:type="dxa"/>
            <w:right w:w="108" w:type="dxa"/>
          </w:tblCellMar>
        </w:tblPrEx>
        <w:trPr>
          <w:trHeight w:val="462" w:hRule="atLeast"/>
        </w:trPr>
        <w:tc>
          <w:tcPr>
            <w:tcW w:w="851" w:type="dxa"/>
            <w:tcBorders>
              <w:top w:val="single" w:color="auto" w:sz="4" w:space="0"/>
              <w:left w:val="single" w:color="000000" w:sz="4" w:space="0"/>
              <w:bottom w:val="single" w:color="auto" w:sz="4" w:space="0"/>
              <w:right w:val="single" w:color="000000" w:sz="4" w:space="0"/>
            </w:tcBorders>
            <w:vAlign w:val="center"/>
          </w:tcPr>
          <w:p w14:paraId="5251B02D">
            <w:pPr>
              <w:spacing w:line="360" w:lineRule="exact"/>
              <w:jc w:val="center"/>
              <w:rPr>
                <w:rFonts w:ascii="宋体" w:hAnsi="宋体" w:cs="宋体"/>
                <w:kern w:val="1"/>
                <w:sz w:val="24"/>
              </w:rPr>
            </w:pPr>
            <w:r>
              <w:rPr>
                <w:rFonts w:hint="eastAsia" w:ascii="宋体" w:hAnsi="宋体" w:cs="宋体"/>
                <w:kern w:val="1"/>
                <w:sz w:val="24"/>
              </w:rPr>
              <w:t>12</w:t>
            </w:r>
          </w:p>
        </w:tc>
        <w:tc>
          <w:tcPr>
            <w:tcW w:w="8351" w:type="dxa"/>
            <w:tcBorders>
              <w:top w:val="single" w:color="auto" w:sz="4" w:space="0"/>
              <w:left w:val="single" w:color="000000" w:sz="4" w:space="0"/>
              <w:bottom w:val="single" w:color="auto" w:sz="4" w:space="0"/>
              <w:right w:val="single" w:color="000000" w:sz="4" w:space="0"/>
            </w:tcBorders>
            <w:vAlign w:val="center"/>
          </w:tcPr>
          <w:p w14:paraId="22E0A004">
            <w:pPr>
              <w:spacing w:line="360" w:lineRule="exact"/>
              <w:rPr>
                <w:rFonts w:ascii="宋体" w:hAnsi="宋体" w:cs="宋体"/>
                <w:b/>
                <w:sz w:val="24"/>
              </w:rPr>
            </w:pPr>
            <w:r>
              <w:rPr>
                <w:rFonts w:hint="eastAsia" w:ascii="宋体" w:hAnsi="宋体" w:cs="宋体"/>
                <w:b/>
                <w:sz w:val="24"/>
              </w:rPr>
              <w:t>其他：</w:t>
            </w:r>
            <w:r>
              <w:rPr>
                <w:rFonts w:hint="eastAsia" w:ascii="宋体" w:hAnsi="宋体" w:cs="宋体"/>
                <w:sz w:val="24"/>
              </w:rPr>
              <w:t>请各供应商在响应文件接收截止日前随时关注更正补充通知或答疑澄清通知。</w:t>
            </w:r>
          </w:p>
        </w:tc>
      </w:tr>
    </w:tbl>
    <w:p w14:paraId="03F273CC">
      <w:pPr>
        <w:spacing w:line="480" w:lineRule="exact"/>
        <w:rPr>
          <w:rFonts w:ascii="宋体" w:hAnsi="宋体" w:cs="宋体"/>
          <w:sz w:val="36"/>
        </w:rPr>
      </w:pPr>
    </w:p>
    <w:p w14:paraId="07510505">
      <w:pPr>
        <w:spacing w:line="480" w:lineRule="exact"/>
        <w:jc w:val="center"/>
        <w:outlineLvl w:val="1"/>
        <w:rPr>
          <w:rFonts w:ascii="宋体" w:hAnsi="宋体" w:cs="宋体"/>
          <w:b/>
          <w:bCs/>
          <w:sz w:val="36"/>
        </w:rPr>
      </w:pPr>
      <w:bookmarkStart w:id="17" w:name="_Toc8902"/>
      <w:bookmarkStart w:id="18" w:name="_Toc26891"/>
      <w:r>
        <w:rPr>
          <w:rFonts w:hint="eastAsia" w:ascii="宋体" w:hAnsi="宋体" w:cs="宋体"/>
          <w:b/>
          <w:bCs/>
          <w:sz w:val="36"/>
        </w:rPr>
        <w:t>一、总    则</w:t>
      </w:r>
      <w:bookmarkEnd w:id="17"/>
      <w:bookmarkEnd w:id="18"/>
    </w:p>
    <w:p w14:paraId="4A3A553A">
      <w:pPr>
        <w:spacing w:line="520" w:lineRule="exact"/>
        <w:ind w:right="105" w:rightChars="50" w:firstLine="600" w:firstLineChars="249"/>
        <w:jc w:val="left"/>
        <w:rPr>
          <w:rFonts w:ascii="宋体" w:hAnsi="宋体" w:cs="宋体"/>
          <w:b/>
          <w:bCs/>
          <w:sz w:val="24"/>
        </w:rPr>
      </w:pPr>
      <w:r>
        <w:rPr>
          <w:rFonts w:hint="eastAsia" w:ascii="宋体" w:hAnsi="宋体" w:cs="宋体"/>
          <w:b/>
          <w:bCs/>
          <w:sz w:val="24"/>
        </w:rPr>
        <w:t>（一）采购方式</w:t>
      </w:r>
    </w:p>
    <w:p w14:paraId="3AE465B1">
      <w:pPr>
        <w:spacing w:line="520" w:lineRule="exact"/>
        <w:ind w:right="105" w:rightChars="50" w:firstLine="597" w:firstLineChars="249"/>
        <w:jc w:val="left"/>
        <w:rPr>
          <w:rFonts w:ascii="宋体" w:hAnsi="宋体" w:cs="宋体"/>
          <w:sz w:val="24"/>
        </w:rPr>
      </w:pPr>
      <w:r>
        <w:rPr>
          <w:rFonts w:hint="eastAsia" w:ascii="宋体" w:hAnsi="宋体" w:cs="宋体"/>
          <w:sz w:val="24"/>
        </w:rPr>
        <w:t>本项目采取竞争性谈判方式采购。</w:t>
      </w:r>
    </w:p>
    <w:p w14:paraId="671E060C">
      <w:pPr>
        <w:spacing w:line="520" w:lineRule="exact"/>
        <w:ind w:right="105" w:rightChars="50" w:firstLine="600" w:firstLineChars="249"/>
        <w:jc w:val="left"/>
        <w:rPr>
          <w:rFonts w:ascii="宋体" w:hAnsi="宋体" w:cs="宋体"/>
          <w:b/>
          <w:bCs/>
          <w:sz w:val="24"/>
        </w:rPr>
      </w:pPr>
      <w:r>
        <w:rPr>
          <w:rFonts w:hint="eastAsia" w:ascii="宋体" w:hAnsi="宋体" w:cs="宋体"/>
          <w:b/>
          <w:bCs/>
          <w:sz w:val="24"/>
        </w:rPr>
        <w:t>（二）合格的供应商</w:t>
      </w:r>
    </w:p>
    <w:p w14:paraId="05DAF6E5">
      <w:pPr>
        <w:spacing w:line="520" w:lineRule="exact"/>
        <w:ind w:right="105" w:rightChars="50" w:firstLine="597" w:firstLineChars="249"/>
        <w:jc w:val="left"/>
        <w:rPr>
          <w:rFonts w:ascii="宋体" w:hAnsi="宋体" w:cs="宋体"/>
          <w:sz w:val="24"/>
        </w:rPr>
      </w:pPr>
      <w:r>
        <w:rPr>
          <w:rFonts w:hint="eastAsia" w:ascii="宋体" w:hAnsi="宋体" w:cs="宋体"/>
          <w:sz w:val="24"/>
        </w:rPr>
        <w:t>1、合格的供应商必须是有能力按照本采购文件规定的要求提供服务，且具有独立承担民事等法律责任的法人或其他经济组织，本次谈判不接受联合体响应。</w:t>
      </w:r>
    </w:p>
    <w:p w14:paraId="3C3E5E52">
      <w:pPr>
        <w:spacing w:line="520" w:lineRule="exact"/>
        <w:ind w:right="105" w:rightChars="50" w:firstLine="597" w:firstLineChars="249"/>
        <w:jc w:val="left"/>
        <w:rPr>
          <w:rFonts w:ascii="宋体" w:hAnsi="宋体" w:cs="宋体"/>
          <w:sz w:val="24"/>
        </w:rPr>
      </w:pPr>
      <w:r>
        <w:rPr>
          <w:rFonts w:hint="eastAsia" w:ascii="宋体" w:hAnsi="宋体" w:cs="宋体"/>
          <w:sz w:val="24"/>
        </w:rPr>
        <w:t>2、合格的供应商必须符合采购文件第一部分《竞争性谈判公告》第三条规定，且具备独立完成本项目的能力，成交后允许分包、不允许转包。</w:t>
      </w:r>
    </w:p>
    <w:p w14:paraId="3FB5534B">
      <w:pPr>
        <w:spacing w:line="520" w:lineRule="exact"/>
        <w:ind w:right="105" w:rightChars="50" w:firstLine="597" w:firstLineChars="249"/>
        <w:jc w:val="left"/>
        <w:rPr>
          <w:rFonts w:ascii="宋体" w:hAnsi="宋体" w:cs="宋体"/>
          <w:sz w:val="24"/>
        </w:rPr>
      </w:pPr>
      <w:r>
        <w:rPr>
          <w:rFonts w:hint="eastAsia" w:ascii="宋体" w:hAnsi="宋体" w:cs="宋体"/>
          <w:sz w:val="24"/>
        </w:rPr>
        <w:t>3、合格的供应商应遵守《中华人民共和国民法典》等有关法律法规。</w:t>
      </w:r>
    </w:p>
    <w:p w14:paraId="2A49467B">
      <w:pPr>
        <w:spacing w:line="520" w:lineRule="exact"/>
        <w:ind w:right="105" w:rightChars="50" w:firstLine="600" w:firstLineChars="249"/>
        <w:jc w:val="left"/>
        <w:rPr>
          <w:rFonts w:ascii="宋体" w:hAnsi="宋体" w:cs="宋体"/>
          <w:b/>
          <w:bCs/>
          <w:sz w:val="24"/>
        </w:rPr>
      </w:pPr>
      <w:r>
        <w:rPr>
          <w:rFonts w:hint="eastAsia" w:ascii="宋体" w:hAnsi="宋体" w:cs="宋体"/>
          <w:b/>
          <w:bCs/>
          <w:sz w:val="24"/>
        </w:rPr>
        <w:t>（三）适用法律</w:t>
      </w:r>
    </w:p>
    <w:p w14:paraId="5821952E">
      <w:pPr>
        <w:spacing w:line="520" w:lineRule="exact"/>
        <w:ind w:right="105" w:rightChars="50" w:firstLine="597" w:firstLineChars="249"/>
        <w:jc w:val="left"/>
        <w:rPr>
          <w:rFonts w:ascii="宋体" w:hAnsi="宋体" w:cs="宋体"/>
          <w:sz w:val="24"/>
        </w:rPr>
      </w:pPr>
      <w:r>
        <w:rPr>
          <w:rFonts w:hint="eastAsia" w:ascii="宋体" w:hAnsi="宋体" w:cs="宋体"/>
          <w:sz w:val="24"/>
        </w:rPr>
        <w:t>本次谈判及由本次谈判产生的合同受中华人民共和国的《中华人民共和国民法典》相关法律法规制约和保护。</w:t>
      </w:r>
    </w:p>
    <w:p w14:paraId="1B64DDE7">
      <w:pPr>
        <w:spacing w:line="520" w:lineRule="exact"/>
        <w:ind w:right="105" w:rightChars="50" w:firstLine="600" w:firstLineChars="249"/>
        <w:jc w:val="left"/>
        <w:rPr>
          <w:rFonts w:ascii="宋体" w:hAnsi="宋体" w:cs="宋体"/>
          <w:b/>
          <w:bCs/>
          <w:sz w:val="24"/>
        </w:rPr>
      </w:pPr>
      <w:r>
        <w:rPr>
          <w:rFonts w:hint="eastAsia" w:ascii="宋体" w:hAnsi="宋体" w:cs="宋体"/>
          <w:b/>
          <w:bCs/>
          <w:sz w:val="24"/>
        </w:rPr>
        <w:t>（四）竞争性谈判费用</w:t>
      </w:r>
    </w:p>
    <w:p w14:paraId="07A1B8BE">
      <w:pPr>
        <w:spacing w:line="520" w:lineRule="exact"/>
        <w:ind w:right="105" w:rightChars="50" w:firstLine="597" w:firstLineChars="249"/>
        <w:jc w:val="left"/>
        <w:rPr>
          <w:rFonts w:ascii="宋体" w:hAnsi="宋体" w:cs="宋体"/>
          <w:sz w:val="24"/>
        </w:rPr>
      </w:pPr>
      <w:r>
        <w:rPr>
          <w:rFonts w:hint="eastAsia" w:ascii="宋体" w:hAnsi="宋体" w:cs="宋体"/>
          <w:sz w:val="24"/>
        </w:rPr>
        <w:t>1、供应商应自行承担所有参加谈判有关的费用。</w:t>
      </w:r>
    </w:p>
    <w:p w14:paraId="623911FC">
      <w:pPr>
        <w:spacing w:line="520" w:lineRule="exact"/>
        <w:ind w:right="105" w:rightChars="50" w:firstLine="597" w:firstLineChars="249"/>
        <w:jc w:val="left"/>
        <w:rPr>
          <w:rFonts w:ascii="宋体" w:hAnsi="宋体" w:cs="宋体"/>
          <w:sz w:val="24"/>
        </w:rPr>
      </w:pPr>
      <w:r>
        <w:rPr>
          <w:rFonts w:hint="eastAsia" w:ascii="宋体" w:hAnsi="宋体" w:cs="宋体"/>
          <w:sz w:val="24"/>
        </w:rPr>
        <w:t>2、成交供应商向采购代理机构交纳代理服务费和评委费。</w:t>
      </w:r>
    </w:p>
    <w:p w14:paraId="4273DCE5">
      <w:pPr>
        <w:spacing w:line="520" w:lineRule="exact"/>
        <w:ind w:right="105" w:rightChars="50" w:firstLine="600" w:firstLineChars="249"/>
        <w:jc w:val="left"/>
        <w:rPr>
          <w:rFonts w:ascii="宋体" w:hAnsi="宋体" w:cs="宋体"/>
          <w:b/>
          <w:bCs/>
          <w:sz w:val="24"/>
        </w:rPr>
      </w:pPr>
      <w:r>
        <w:rPr>
          <w:rFonts w:hint="eastAsia" w:ascii="宋体" w:hAnsi="宋体" w:cs="宋体"/>
          <w:b/>
          <w:bCs/>
          <w:sz w:val="24"/>
        </w:rPr>
        <w:t>（五）采购文件的约束力</w:t>
      </w:r>
    </w:p>
    <w:p w14:paraId="71EE09B1">
      <w:pPr>
        <w:spacing w:line="520" w:lineRule="exact"/>
        <w:ind w:right="105" w:rightChars="50" w:firstLine="597" w:firstLineChars="249"/>
        <w:jc w:val="left"/>
        <w:rPr>
          <w:rFonts w:ascii="宋体" w:hAnsi="宋体" w:cs="宋体"/>
          <w:sz w:val="24"/>
        </w:rPr>
      </w:pPr>
      <w:r>
        <w:rPr>
          <w:rFonts w:hint="eastAsia" w:ascii="宋体" w:hAnsi="宋体" w:cs="宋体"/>
          <w:sz w:val="24"/>
        </w:rPr>
        <w:t>供应商一旦报名参加本项目响应，即被认为接受了本采购文件中的所有条件和规定。</w:t>
      </w:r>
    </w:p>
    <w:p w14:paraId="53F6B699">
      <w:pPr>
        <w:spacing w:line="520" w:lineRule="exact"/>
        <w:ind w:right="105" w:rightChars="50" w:firstLine="900" w:firstLineChars="249"/>
        <w:jc w:val="center"/>
        <w:rPr>
          <w:rFonts w:ascii="宋体" w:hAnsi="宋体" w:cs="宋体"/>
          <w:b/>
          <w:bCs/>
          <w:sz w:val="36"/>
        </w:rPr>
      </w:pPr>
      <w:bookmarkStart w:id="19" w:name="_Toc32588"/>
    </w:p>
    <w:p w14:paraId="3AC7E99E">
      <w:pPr>
        <w:spacing w:line="520" w:lineRule="exact"/>
        <w:ind w:right="105" w:rightChars="50" w:firstLine="900" w:firstLineChars="249"/>
        <w:jc w:val="center"/>
        <w:outlineLvl w:val="1"/>
        <w:rPr>
          <w:rFonts w:ascii="宋体" w:hAnsi="宋体" w:cs="宋体"/>
          <w:b/>
          <w:bCs/>
          <w:sz w:val="24"/>
        </w:rPr>
      </w:pPr>
      <w:bookmarkStart w:id="20" w:name="_Toc22443"/>
      <w:r>
        <w:rPr>
          <w:rFonts w:hint="eastAsia" w:ascii="宋体" w:hAnsi="宋体" w:cs="宋体"/>
          <w:b/>
          <w:bCs/>
          <w:sz w:val="36"/>
        </w:rPr>
        <w:t>二、竞争性谈判文件</w:t>
      </w:r>
      <w:bookmarkEnd w:id="19"/>
      <w:bookmarkEnd w:id="20"/>
    </w:p>
    <w:p w14:paraId="225A2AAB">
      <w:pPr>
        <w:spacing w:line="520" w:lineRule="exact"/>
        <w:ind w:right="105" w:rightChars="50" w:firstLine="600" w:firstLineChars="249"/>
        <w:jc w:val="left"/>
        <w:rPr>
          <w:rFonts w:ascii="宋体" w:hAnsi="宋体" w:cs="宋体"/>
          <w:b/>
          <w:bCs/>
          <w:sz w:val="24"/>
        </w:rPr>
      </w:pPr>
      <w:r>
        <w:rPr>
          <w:rFonts w:hint="eastAsia" w:ascii="宋体" w:hAnsi="宋体" w:cs="宋体"/>
          <w:b/>
          <w:bCs/>
          <w:sz w:val="24"/>
        </w:rPr>
        <w:t>（六）采购文件构成</w:t>
      </w:r>
    </w:p>
    <w:p w14:paraId="7823948B">
      <w:pPr>
        <w:spacing w:line="520" w:lineRule="exact"/>
        <w:ind w:right="105" w:rightChars="50" w:firstLine="597" w:firstLineChars="249"/>
        <w:jc w:val="left"/>
        <w:rPr>
          <w:rFonts w:ascii="宋体" w:hAnsi="宋体" w:cs="宋体"/>
          <w:sz w:val="24"/>
        </w:rPr>
      </w:pPr>
      <w:r>
        <w:rPr>
          <w:rFonts w:hint="eastAsia" w:ascii="宋体" w:hAnsi="宋体" w:cs="宋体"/>
          <w:sz w:val="24"/>
        </w:rPr>
        <w:t>竞争性谈判公告；</w:t>
      </w:r>
    </w:p>
    <w:p w14:paraId="0806A211">
      <w:pPr>
        <w:spacing w:line="520" w:lineRule="exact"/>
        <w:ind w:right="105" w:rightChars="50" w:firstLine="597" w:firstLineChars="249"/>
        <w:jc w:val="left"/>
        <w:rPr>
          <w:rFonts w:ascii="宋体" w:hAnsi="宋体" w:cs="宋体"/>
          <w:sz w:val="24"/>
        </w:rPr>
      </w:pPr>
      <w:r>
        <w:rPr>
          <w:rFonts w:hint="eastAsia" w:ascii="宋体" w:hAnsi="宋体" w:cs="宋体"/>
          <w:sz w:val="24"/>
        </w:rPr>
        <w:t>供应商须知及供应商须知前附表；</w:t>
      </w:r>
    </w:p>
    <w:p w14:paraId="01842C8A">
      <w:pPr>
        <w:spacing w:line="520" w:lineRule="exact"/>
        <w:ind w:right="105" w:rightChars="50" w:firstLine="597" w:firstLineChars="249"/>
        <w:jc w:val="left"/>
        <w:rPr>
          <w:rFonts w:ascii="宋体" w:hAnsi="宋体" w:cs="宋体"/>
          <w:sz w:val="24"/>
        </w:rPr>
      </w:pPr>
      <w:r>
        <w:rPr>
          <w:rFonts w:hint="eastAsia" w:ascii="宋体" w:hAnsi="宋体" w:cs="宋体"/>
          <w:sz w:val="24"/>
        </w:rPr>
        <w:t>响应文件格式；</w:t>
      </w:r>
    </w:p>
    <w:p w14:paraId="46AD4CC0">
      <w:pPr>
        <w:spacing w:line="520" w:lineRule="exact"/>
        <w:ind w:right="105" w:rightChars="50" w:firstLine="597" w:firstLineChars="249"/>
        <w:jc w:val="left"/>
        <w:rPr>
          <w:rFonts w:ascii="宋体" w:hAnsi="宋体" w:cs="宋体"/>
          <w:sz w:val="24"/>
        </w:rPr>
      </w:pPr>
      <w:r>
        <w:rPr>
          <w:rFonts w:hint="eastAsia" w:ascii="宋体" w:hAnsi="宋体" w:cs="宋体"/>
          <w:sz w:val="24"/>
        </w:rPr>
        <w:t>技术标准和要求；</w:t>
      </w:r>
    </w:p>
    <w:p w14:paraId="01663873">
      <w:pPr>
        <w:spacing w:line="520" w:lineRule="exact"/>
        <w:ind w:right="105" w:rightChars="50" w:firstLine="597" w:firstLineChars="249"/>
        <w:jc w:val="left"/>
        <w:rPr>
          <w:rFonts w:ascii="宋体" w:hAnsi="宋体" w:cs="宋体"/>
          <w:sz w:val="24"/>
        </w:rPr>
      </w:pPr>
      <w:r>
        <w:rPr>
          <w:rFonts w:hint="eastAsia" w:ascii="宋体" w:hAnsi="宋体" w:cs="宋体"/>
          <w:sz w:val="24"/>
        </w:rPr>
        <w:t>附件。</w:t>
      </w:r>
    </w:p>
    <w:p w14:paraId="4990326C">
      <w:pPr>
        <w:spacing w:line="520" w:lineRule="exact"/>
        <w:ind w:right="105" w:rightChars="50" w:firstLine="600" w:firstLineChars="249"/>
        <w:jc w:val="left"/>
        <w:rPr>
          <w:rFonts w:ascii="宋体" w:hAnsi="宋体" w:cs="宋体"/>
          <w:b/>
          <w:bCs/>
          <w:sz w:val="24"/>
        </w:rPr>
      </w:pPr>
      <w:r>
        <w:rPr>
          <w:rFonts w:hint="eastAsia" w:ascii="宋体" w:hAnsi="宋体" w:cs="宋体"/>
          <w:b/>
          <w:bCs/>
          <w:sz w:val="24"/>
        </w:rPr>
        <w:t>（七）采购文件的澄清</w:t>
      </w:r>
    </w:p>
    <w:p w14:paraId="3BEB3E3D">
      <w:pPr>
        <w:spacing w:line="520" w:lineRule="exact"/>
        <w:ind w:right="105" w:rightChars="50" w:firstLine="597" w:firstLineChars="249"/>
        <w:jc w:val="left"/>
        <w:rPr>
          <w:rFonts w:ascii="宋体" w:hAnsi="宋体" w:cs="宋体"/>
          <w:sz w:val="24"/>
        </w:rPr>
      </w:pPr>
      <w:r>
        <w:rPr>
          <w:rFonts w:hint="eastAsia" w:ascii="宋体" w:hAnsi="宋体" w:cs="宋体"/>
          <w:sz w:val="24"/>
        </w:rPr>
        <w:t>任何要求对采购文件澄清的供应商，均应在谈判两天之前按公告中的通讯地址，以书面形式（如信函、邮箱等）通知代理机构，代理机构对规定时间内收到的澄清要求以书面形式予以答复，答复不包括问题的来源。</w:t>
      </w:r>
    </w:p>
    <w:p w14:paraId="4ABF89C5">
      <w:pPr>
        <w:spacing w:line="500" w:lineRule="exact"/>
        <w:ind w:firstLine="482" w:firstLineChars="200"/>
        <w:jc w:val="left"/>
        <w:rPr>
          <w:rFonts w:ascii="宋体" w:hAnsi="宋体" w:cs="宋体"/>
          <w:b/>
          <w:sz w:val="24"/>
        </w:rPr>
      </w:pPr>
      <w:bookmarkStart w:id="21" w:name="_Toc6575"/>
      <w:r>
        <w:rPr>
          <w:rFonts w:hint="eastAsia" w:ascii="宋体" w:hAnsi="宋体" w:cs="宋体"/>
          <w:b/>
          <w:sz w:val="24"/>
        </w:rPr>
        <w:t>（八）采购文件的修改</w:t>
      </w:r>
      <w:bookmarkEnd w:id="21"/>
    </w:p>
    <w:p w14:paraId="31151BB7">
      <w:pPr>
        <w:spacing w:line="520" w:lineRule="exact"/>
        <w:ind w:right="105" w:rightChars="50" w:firstLine="597" w:firstLineChars="249"/>
        <w:jc w:val="left"/>
        <w:rPr>
          <w:rFonts w:ascii="宋体" w:hAnsi="宋体" w:cs="宋体"/>
          <w:sz w:val="24"/>
        </w:rPr>
      </w:pPr>
      <w:r>
        <w:rPr>
          <w:rFonts w:hint="eastAsia" w:ascii="宋体" w:hAnsi="宋体" w:cs="宋体"/>
          <w:sz w:val="24"/>
        </w:rPr>
        <w:t>1、在响应文件接收截止日期前二天，无论出于何种原因，采购人均可以更正公告或补充文件的形式对采购文件进行修改。</w:t>
      </w:r>
    </w:p>
    <w:p w14:paraId="11D50A75">
      <w:pPr>
        <w:spacing w:line="500" w:lineRule="exact"/>
        <w:ind w:right="105" w:rightChars="50" w:firstLine="600" w:firstLineChars="249"/>
        <w:jc w:val="left"/>
        <w:rPr>
          <w:rFonts w:ascii="宋体" w:hAnsi="宋体" w:cs="宋体"/>
          <w:b/>
          <w:color w:val="0000FF"/>
          <w:sz w:val="24"/>
        </w:rPr>
      </w:pPr>
      <w:r>
        <w:rPr>
          <w:rFonts w:hint="eastAsia" w:ascii="宋体" w:hAnsi="宋体" w:cs="宋体"/>
          <w:b/>
          <w:color w:val="0000FF"/>
          <w:sz w:val="24"/>
        </w:rPr>
        <w:t>2、采购文件的补充或修改将以补充公告的形式书面通知到每个供应商，补充通知及公告对供应商具有约束力。</w:t>
      </w:r>
    </w:p>
    <w:p w14:paraId="34FEEF37">
      <w:pPr>
        <w:spacing w:line="500" w:lineRule="exact"/>
        <w:ind w:right="105" w:rightChars="50" w:firstLine="597" w:firstLineChars="249"/>
        <w:jc w:val="left"/>
        <w:rPr>
          <w:rFonts w:ascii="宋体" w:hAnsi="宋体" w:cs="宋体"/>
          <w:sz w:val="24"/>
        </w:rPr>
      </w:pPr>
      <w:r>
        <w:rPr>
          <w:rFonts w:hint="eastAsia" w:ascii="宋体" w:hAnsi="宋体" w:cs="宋体"/>
          <w:sz w:val="24"/>
        </w:rPr>
        <w:t>3、为使供应商有充分的时间对采购文件的修改部分进行分析、研究，代理机构有权推迟响应文件接收截止日期和谈判时间。</w:t>
      </w:r>
    </w:p>
    <w:p w14:paraId="332BDA1D">
      <w:pPr>
        <w:spacing w:line="500" w:lineRule="exact"/>
        <w:ind w:right="105" w:rightChars="50" w:firstLine="597" w:firstLineChars="249"/>
        <w:jc w:val="left"/>
        <w:rPr>
          <w:rFonts w:ascii="宋体" w:hAnsi="宋体" w:cs="宋体"/>
          <w:sz w:val="24"/>
        </w:rPr>
      </w:pPr>
      <w:r>
        <w:rPr>
          <w:rFonts w:hint="eastAsia" w:ascii="宋体" w:hAnsi="宋体" w:cs="宋体"/>
          <w:sz w:val="24"/>
        </w:rPr>
        <w:t>4、采购人发出的所有补充、修改和变更文件均作为采购文件的组成部分，与采购文件具有同等法律效力。</w:t>
      </w:r>
    </w:p>
    <w:p w14:paraId="345B48CD">
      <w:pPr>
        <w:spacing w:line="600" w:lineRule="exact"/>
        <w:ind w:firstLine="723" w:firstLineChars="200"/>
        <w:jc w:val="center"/>
        <w:rPr>
          <w:rFonts w:ascii="宋体" w:hAnsi="宋体" w:cs="宋体"/>
          <w:b/>
          <w:bCs/>
          <w:sz w:val="36"/>
        </w:rPr>
      </w:pPr>
    </w:p>
    <w:p w14:paraId="2D04B824">
      <w:pPr>
        <w:spacing w:line="600" w:lineRule="exact"/>
        <w:ind w:firstLine="723" w:firstLineChars="200"/>
        <w:jc w:val="center"/>
        <w:outlineLvl w:val="1"/>
        <w:rPr>
          <w:rFonts w:ascii="宋体" w:hAnsi="宋体" w:cs="宋体"/>
          <w:b/>
          <w:bCs/>
          <w:sz w:val="36"/>
        </w:rPr>
      </w:pPr>
      <w:bookmarkStart w:id="22" w:name="_Toc31046"/>
      <w:bookmarkStart w:id="23" w:name="_Toc15874"/>
      <w:r>
        <w:rPr>
          <w:rFonts w:hint="eastAsia" w:ascii="宋体" w:hAnsi="宋体" w:cs="宋体"/>
          <w:b/>
          <w:bCs/>
          <w:sz w:val="36"/>
        </w:rPr>
        <w:t>三、响应文件的编制</w:t>
      </w:r>
      <w:bookmarkEnd w:id="22"/>
      <w:bookmarkEnd w:id="23"/>
    </w:p>
    <w:p w14:paraId="2919047D">
      <w:pPr>
        <w:spacing w:line="440" w:lineRule="exact"/>
        <w:ind w:firstLine="482" w:firstLineChars="200"/>
        <w:rPr>
          <w:rFonts w:ascii="宋体" w:hAnsi="宋体" w:cs="宋体"/>
          <w:b/>
          <w:sz w:val="24"/>
        </w:rPr>
      </w:pPr>
    </w:p>
    <w:p w14:paraId="3FCDE6DC">
      <w:pPr>
        <w:spacing w:line="440" w:lineRule="exact"/>
        <w:ind w:firstLine="482" w:firstLineChars="200"/>
        <w:rPr>
          <w:rFonts w:ascii="宋体" w:hAnsi="宋体" w:cs="宋体"/>
          <w:b/>
          <w:sz w:val="24"/>
        </w:rPr>
      </w:pPr>
      <w:r>
        <w:rPr>
          <w:rFonts w:hint="eastAsia" w:ascii="宋体" w:hAnsi="宋体" w:cs="宋体"/>
          <w:b/>
          <w:sz w:val="24"/>
        </w:rPr>
        <w:t>（九）响应文件的编制要求</w:t>
      </w:r>
    </w:p>
    <w:p w14:paraId="591E4948">
      <w:pPr>
        <w:spacing w:line="440" w:lineRule="exact"/>
        <w:ind w:firstLine="480" w:firstLineChars="200"/>
        <w:rPr>
          <w:rFonts w:ascii="宋体" w:hAnsi="宋体" w:cs="宋体"/>
          <w:sz w:val="24"/>
        </w:rPr>
      </w:pPr>
      <w:r>
        <w:rPr>
          <w:rFonts w:hint="eastAsia" w:ascii="宋体" w:hAnsi="宋体" w:cs="宋体"/>
          <w:sz w:val="24"/>
        </w:rPr>
        <w:t>供应商应仔细阅读“采购文件”的所有内容，按“采购文件”的要求编制“响应文件”，并保证所提供的全部资料的真实性、完整性及有效性，以使其竞标对“采购文件”作出实质性响应。否则，将被拒绝。</w:t>
      </w:r>
    </w:p>
    <w:p w14:paraId="79EE344E">
      <w:pPr>
        <w:spacing w:line="440" w:lineRule="exact"/>
        <w:ind w:firstLine="482" w:firstLineChars="200"/>
        <w:rPr>
          <w:rFonts w:ascii="宋体" w:hAnsi="宋体" w:cs="宋体"/>
          <w:b/>
          <w:sz w:val="24"/>
        </w:rPr>
      </w:pPr>
      <w:r>
        <w:rPr>
          <w:rFonts w:hint="eastAsia" w:ascii="宋体" w:hAnsi="宋体" w:cs="宋体"/>
          <w:b/>
          <w:sz w:val="24"/>
        </w:rPr>
        <w:t>（十）响应文件构成</w:t>
      </w:r>
    </w:p>
    <w:p w14:paraId="42599CC8">
      <w:pPr>
        <w:spacing w:line="440" w:lineRule="exact"/>
        <w:ind w:firstLine="480" w:firstLineChars="200"/>
        <w:rPr>
          <w:rFonts w:ascii="宋体" w:hAnsi="宋体" w:cs="宋体"/>
          <w:sz w:val="24"/>
        </w:rPr>
      </w:pPr>
      <w:r>
        <w:rPr>
          <w:rFonts w:hint="eastAsia" w:ascii="宋体" w:hAnsi="宋体" w:cs="宋体"/>
          <w:sz w:val="24"/>
        </w:rPr>
        <w:t>1、资格证明文件</w:t>
      </w:r>
    </w:p>
    <w:p w14:paraId="02E075A8">
      <w:pPr>
        <w:widowControl/>
        <w:topLinePunct/>
        <w:spacing w:line="500" w:lineRule="exact"/>
        <w:ind w:firstLine="482" w:firstLineChars="200"/>
        <w:rPr>
          <w:rFonts w:ascii="宋体" w:hAnsi="宋体" w:cs="宋体"/>
          <w:b/>
          <w:bCs/>
          <w:color w:val="FF0000"/>
          <w:sz w:val="24"/>
        </w:rPr>
      </w:pPr>
      <w:r>
        <w:rPr>
          <w:rFonts w:hint="eastAsia" w:ascii="宋体" w:hAnsi="宋体" w:cs="宋体"/>
          <w:b/>
          <w:bCs/>
          <w:color w:val="FF0000"/>
          <w:sz w:val="24"/>
        </w:rPr>
        <w:t>（1）响应声明及承诺函。</w:t>
      </w:r>
    </w:p>
    <w:p w14:paraId="780E6F11">
      <w:pPr>
        <w:widowControl/>
        <w:topLinePunct/>
        <w:spacing w:line="500" w:lineRule="exact"/>
        <w:ind w:firstLine="482" w:firstLineChars="200"/>
        <w:rPr>
          <w:rFonts w:ascii="宋体" w:hAnsi="宋体" w:cs="宋体"/>
          <w:b/>
          <w:bCs/>
          <w:color w:val="FF0000"/>
          <w:sz w:val="24"/>
        </w:rPr>
      </w:pPr>
      <w:r>
        <w:rPr>
          <w:rFonts w:hint="eastAsia" w:ascii="宋体" w:hAnsi="宋体" w:cs="宋体"/>
          <w:b/>
          <w:bCs/>
          <w:color w:val="FF0000"/>
          <w:sz w:val="24"/>
        </w:rPr>
        <w:t>（2）法人代表证明或法定代表人授权委托书；</w:t>
      </w:r>
    </w:p>
    <w:p w14:paraId="5CC7D27E">
      <w:pPr>
        <w:widowControl/>
        <w:topLinePunct/>
        <w:spacing w:line="500" w:lineRule="exact"/>
        <w:ind w:firstLine="480" w:firstLineChars="200"/>
        <w:rPr>
          <w:rFonts w:ascii="宋体" w:hAnsi="宋体" w:cs="宋体"/>
          <w:sz w:val="24"/>
        </w:rPr>
      </w:pPr>
      <w:r>
        <w:rPr>
          <w:rFonts w:hint="eastAsia" w:ascii="宋体" w:hAnsi="宋体" w:cs="宋体"/>
          <w:sz w:val="24"/>
        </w:rPr>
        <w:t>（3）供应商认为与本项目相关的其他资格证明资料。</w:t>
      </w:r>
    </w:p>
    <w:p w14:paraId="78E30B27">
      <w:pPr>
        <w:widowControl/>
        <w:topLinePunct/>
        <w:spacing w:line="500" w:lineRule="exact"/>
        <w:ind w:firstLine="480" w:firstLineChars="200"/>
        <w:rPr>
          <w:rFonts w:ascii="宋体" w:hAnsi="宋体" w:cs="宋体"/>
          <w:sz w:val="24"/>
        </w:rPr>
      </w:pPr>
      <w:r>
        <w:rPr>
          <w:rFonts w:hint="eastAsia" w:ascii="宋体" w:hAnsi="宋体" w:cs="宋体"/>
          <w:sz w:val="24"/>
        </w:rPr>
        <w:t>2、报价文件</w:t>
      </w:r>
    </w:p>
    <w:p w14:paraId="392FE023">
      <w:pPr>
        <w:spacing w:line="500" w:lineRule="exact"/>
        <w:ind w:firstLine="480" w:firstLineChars="200"/>
        <w:jc w:val="left"/>
        <w:rPr>
          <w:rFonts w:ascii="宋体" w:hAnsi="宋体" w:cs="宋体"/>
          <w:sz w:val="24"/>
        </w:rPr>
      </w:pPr>
      <w:r>
        <w:rPr>
          <w:rFonts w:hint="eastAsia" w:ascii="宋体" w:hAnsi="宋体" w:cs="宋体"/>
          <w:sz w:val="24"/>
        </w:rPr>
        <w:t>（1）报价一览表（附件）；</w:t>
      </w:r>
    </w:p>
    <w:p w14:paraId="7CB67A0D">
      <w:pPr>
        <w:spacing w:line="500" w:lineRule="exact"/>
        <w:ind w:firstLine="482" w:firstLineChars="200"/>
        <w:jc w:val="left"/>
        <w:rPr>
          <w:rFonts w:ascii="宋体" w:hAnsi="宋体" w:cs="宋体"/>
          <w:sz w:val="24"/>
        </w:rPr>
      </w:pPr>
      <w:r>
        <w:rPr>
          <w:rFonts w:hint="eastAsia" w:ascii="宋体" w:hAnsi="宋体" w:cs="宋体"/>
          <w:b/>
          <w:bCs/>
          <w:color w:val="FF0000"/>
          <w:sz w:val="24"/>
        </w:rPr>
        <w:t>（2）明细报价表（附件）。</w:t>
      </w:r>
    </w:p>
    <w:p w14:paraId="7F752EAB">
      <w:pPr>
        <w:spacing w:line="500" w:lineRule="exact"/>
        <w:ind w:firstLine="480" w:firstLineChars="200"/>
        <w:rPr>
          <w:rFonts w:ascii="宋体" w:hAnsi="宋体" w:cs="宋体"/>
          <w:sz w:val="24"/>
        </w:rPr>
      </w:pPr>
      <w:r>
        <w:rPr>
          <w:rFonts w:hint="eastAsia" w:ascii="宋体" w:hAnsi="宋体" w:cs="宋体"/>
          <w:sz w:val="24"/>
        </w:rPr>
        <w:t>3、技术文件</w:t>
      </w:r>
    </w:p>
    <w:p w14:paraId="47707297">
      <w:pPr>
        <w:spacing w:line="500" w:lineRule="exact"/>
        <w:ind w:firstLine="482" w:firstLineChars="200"/>
        <w:rPr>
          <w:rFonts w:ascii="宋体" w:hAnsi="宋体" w:cs="宋体"/>
          <w:b/>
          <w:bCs/>
          <w:color w:val="FF0000"/>
          <w:sz w:val="24"/>
        </w:rPr>
      </w:pPr>
      <w:r>
        <w:rPr>
          <w:rFonts w:hint="eastAsia" w:ascii="宋体" w:hAnsi="宋体" w:cs="宋体"/>
          <w:b/>
          <w:bCs/>
          <w:color w:val="FF0000"/>
          <w:sz w:val="24"/>
        </w:rPr>
        <w:t>（1）项目整体实施方案；</w:t>
      </w:r>
    </w:p>
    <w:p w14:paraId="3FE8D350">
      <w:pPr>
        <w:spacing w:line="500" w:lineRule="exact"/>
        <w:ind w:firstLine="482" w:firstLineChars="200"/>
        <w:rPr>
          <w:rFonts w:ascii="宋体" w:hAnsi="宋体" w:cs="宋体"/>
          <w:b/>
          <w:bCs/>
          <w:color w:val="FF0000"/>
          <w:sz w:val="24"/>
        </w:rPr>
      </w:pPr>
      <w:r>
        <w:rPr>
          <w:rFonts w:hint="eastAsia" w:ascii="宋体" w:hAnsi="宋体" w:cs="宋体"/>
          <w:b/>
          <w:bCs/>
          <w:color w:val="FF0000"/>
          <w:sz w:val="24"/>
        </w:rPr>
        <w:t>（2）项目管理、技术及售后服务人员一览表（附件）；</w:t>
      </w:r>
    </w:p>
    <w:p w14:paraId="61FF7056">
      <w:pPr>
        <w:spacing w:line="500" w:lineRule="exact"/>
        <w:ind w:firstLine="482" w:firstLineChars="200"/>
        <w:rPr>
          <w:rFonts w:ascii="宋体" w:hAnsi="宋体" w:cs="宋体"/>
          <w:b/>
          <w:bCs/>
          <w:color w:val="FF0000"/>
          <w:sz w:val="24"/>
        </w:rPr>
      </w:pPr>
      <w:r>
        <w:rPr>
          <w:rFonts w:hint="eastAsia" w:ascii="宋体" w:hAnsi="宋体" w:cs="宋体"/>
          <w:b/>
          <w:bCs/>
          <w:color w:val="FF0000"/>
          <w:sz w:val="24"/>
        </w:rPr>
        <w:t>（3）质量保证及售后服务方案；</w:t>
      </w:r>
    </w:p>
    <w:p w14:paraId="1F859000">
      <w:pPr>
        <w:spacing w:line="500" w:lineRule="exact"/>
        <w:ind w:firstLine="482" w:firstLineChars="200"/>
        <w:rPr>
          <w:rFonts w:ascii="宋体" w:hAnsi="宋体" w:cs="宋体"/>
          <w:b/>
          <w:bCs/>
          <w:color w:val="FF0000"/>
          <w:sz w:val="24"/>
        </w:rPr>
      </w:pPr>
      <w:r>
        <w:rPr>
          <w:rFonts w:hint="eastAsia" w:ascii="宋体" w:hAnsi="宋体" w:cs="宋体"/>
          <w:b/>
          <w:bCs/>
          <w:color w:val="FF0000"/>
          <w:sz w:val="24"/>
        </w:rPr>
        <w:t>（4）技术响应偏差表（附件）。</w:t>
      </w:r>
    </w:p>
    <w:p w14:paraId="13B41CE7">
      <w:pPr>
        <w:spacing w:line="500" w:lineRule="exact"/>
        <w:ind w:firstLine="480" w:firstLineChars="200"/>
        <w:rPr>
          <w:rFonts w:ascii="宋体" w:hAnsi="宋体" w:cs="宋体"/>
          <w:sz w:val="24"/>
        </w:rPr>
      </w:pPr>
      <w:r>
        <w:rPr>
          <w:rFonts w:hint="eastAsia" w:ascii="宋体" w:hAnsi="宋体" w:cs="宋体"/>
          <w:sz w:val="24"/>
        </w:rPr>
        <w:t>4、商务文件</w:t>
      </w:r>
    </w:p>
    <w:p w14:paraId="62186455">
      <w:pPr>
        <w:spacing w:line="500" w:lineRule="exact"/>
        <w:ind w:firstLine="482" w:firstLineChars="200"/>
        <w:rPr>
          <w:rFonts w:ascii="宋体" w:hAnsi="宋体" w:cs="宋体"/>
          <w:b/>
          <w:bCs/>
          <w:color w:val="FF0000"/>
          <w:sz w:val="24"/>
        </w:rPr>
      </w:pPr>
      <w:r>
        <w:rPr>
          <w:rFonts w:hint="eastAsia" w:ascii="宋体" w:hAnsi="宋体" w:cs="宋体"/>
          <w:b/>
          <w:bCs/>
          <w:color w:val="FF0000"/>
          <w:sz w:val="24"/>
        </w:rPr>
        <w:t>（1）其他商务文件。</w:t>
      </w:r>
    </w:p>
    <w:p w14:paraId="5CCDEAF1">
      <w:pPr>
        <w:spacing w:line="500" w:lineRule="exact"/>
        <w:ind w:firstLine="482" w:firstLineChars="200"/>
        <w:rPr>
          <w:rFonts w:ascii="宋体" w:hAnsi="宋体" w:cs="宋体"/>
          <w:b/>
          <w:bCs/>
          <w:color w:val="FF0000"/>
          <w:sz w:val="24"/>
        </w:rPr>
      </w:pPr>
      <w:r>
        <w:rPr>
          <w:rFonts w:hint="eastAsia" w:ascii="宋体" w:hAnsi="宋体" w:cs="宋体"/>
          <w:b/>
          <w:bCs/>
          <w:color w:val="FF0000"/>
          <w:sz w:val="24"/>
        </w:rPr>
        <w:t>（2）商务响应偏离表</w:t>
      </w:r>
    </w:p>
    <w:p w14:paraId="5B3B77DD">
      <w:pPr>
        <w:spacing w:line="500" w:lineRule="exact"/>
        <w:rPr>
          <w:rFonts w:ascii="宋体" w:hAnsi="宋体" w:cs="宋体"/>
          <w:sz w:val="24"/>
        </w:rPr>
      </w:pPr>
      <w:r>
        <w:rPr>
          <w:rFonts w:hint="eastAsia" w:ascii="宋体" w:hAnsi="宋体" w:cs="宋体"/>
          <w:sz w:val="24"/>
        </w:rPr>
        <w:t xml:space="preserve">    注：表格不够供应商可自制</w:t>
      </w:r>
    </w:p>
    <w:p w14:paraId="137235F9">
      <w:pPr>
        <w:spacing w:line="500" w:lineRule="exact"/>
        <w:ind w:firstLine="480" w:firstLineChars="200"/>
        <w:rPr>
          <w:rFonts w:ascii="宋体" w:hAnsi="宋体" w:cs="宋体"/>
          <w:sz w:val="24"/>
        </w:rPr>
      </w:pPr>
      <w:r>
        <w:rPr>
          <w:rFonts w:hint="eastAsia" w:ascii="宋体" w:hAnsi="宋体" w:cs="宋体"/>
          <w:sz w:val="24"/>
        </w:rPr>
        <w:t>5、供应商认为有必要提供的其他材料。</w:t>
      </w:r>
    </w:p>
    <w:p w14:paraId="1F8D5F62">
      <w:pPr>
        <w:spacing w:line="500" w:lineRule="exact"/>
        <w:ind w:firstLine="482" w:firstLineChars="200"/>
        <w:jc w:val="left"/>
        <w:rPr>
          <w:rFonts w:ascii="宋体" w:hAnsi="宋体" w:cs="宋体"/>
          <w:b/>
          <w:sz w:val="24"/>
          <w:u w:val="single"/>
        </w:rPr>
      </w:pPr>
      <w:r>
        <w:rPr>
          <w:rFonts w:hint="eastAsia" w:ascii="宋体" w:hAnsi="宋体" w:cs="宋体"/>
          <w:b/>
          <w:sz w:val="24"/>
          <w:u w:val="single"/>
        </w:rPr>
        <w:t>注：以上材料须加盖单位公章，供应商需将响应文件按上述顺序装订成册</w:t>
      </w:r>
      <w:r>
        <w:rPr>
          <w:rFonts w:hint="eastAsia" w:ascii="宋体" w:hAnsi="宋体" w:cs="宋体"/>
          <w:b/>
          <w:sz w:val="24"/>
        </w:rPr>
        <w:t>。</w:t>
      </w:r>
    </w:p>
    <w:p w14:paraId="0D9108D9">
      <w:pPr>
        <w:spacing w:line="500" w:lineRule="exact"/>
        <w:ind w:firstLine="482" w:firstLineChars="200"/>
        <w:jc w:val="left"/>
        <w:rPr>
          <w:rFonts w:ascii="宋体" w:hAnsi="宋体" w:cs="宋体"/>
          <w:sz w:val="24"/>
        </w:rPr>
      </w:pPr>
      <w:bookmarkStart w:id="24" w:name="_Toc5568"/>
      <w:r>
        <w:rPr>
          <w:rFonts w:hint="eastAsia" w:ascii="宋体" w:hAnsi="宋体" w:cs="宋体"/>
          <w:b/>
          <w:sz w:val="24"/>
        </w:rPr>
        <w:t>（十一）响应文件格式</w:t>
      </w:r>
      <w:bookmarkEnd w:id="24"/>
    </w:p>
    <w:p w14:paraId="100D22EF">
      <w:pPr>
        <w:spacing w:line="500" w:lineRule="exact"/>
        <w:ind w:firstLine="480" w:firstLineChars="200"/>
        <w:jc w:val="left"/>
        <w:rPr>
          <w:rFonts w:ascii="宋体" w:hAnsi="宋体" w:cs="宋体"/>
          <w:sz w:val="24"/>
        </w:rPr>
      </w:pPr>
      <w:r>
        <w:rPr>
          <w:rFonts w:hint="eastAsia" w:ascii="宋体" w:hAnsi="宋体" w:cs="宋体"/>
          <w:sz w:val="24"/>
        </w:rPr>
        <w:t>供应商需按照上述响应文件构成顺序编制响应文件，并按采购文件中提供的格式填写响应函、授权委托书、报价一览表等材料。</w:t>
      </w:r>
    </w:p>
    <w:p w14:paraId="6301E3D8">
      <w:pPr>
        <w:spacing w:line="500" w:lineRule="exact"/>
        <w:ind w:firstLine="482" w:firstLineChars="200"/>
        <w:jc w:val="left"/>
        <w:rPr>
          <w:rFonts w:ascii="宋体" w:hAnsi="宋体" w:cs="宋体"/>
          <w:sz w:val="24"/>
        </w:rPr>
      </w:pPr>
      <w:bookmarkStart w:id="25" w:name="_Toc8916"/>
      <w:r>
        <w:rPr>
          <w:rFonts w:hint="eastAsia" w:ascii="宋体" w:hAnsi="宋体" w:cs="宋体"/>
          <w:b/>
          <w:sz w:val="24"/>
        </w:rPr>
        <w:t>（十二）响应报价</w:t>
      </w:r>
      <w:bookmarkEnd w:id="25"/>
    </w:p>
    <w:p w14:paraId="5A8EB813">
      <w:pPr>
        <w:spacing w:line="500" w:lineRule="exact"/>
        <w:ind w:firstLine="480" w:firstLineChars="200"/>
        <w:rPr>
          <w:rFonts w:ascii="宋体" w:hAnsi="宋体" w:cs="宋体"/>
          <w:color w:val="000000"/>
          <w:sz w:val="24"/>
        </w:rPr>
      </w:pPr>
      <w:bookmarkStart w:id="26" w:name="_Toc7271"/>
      <w:r>
        <w:rPr>
          <w:rFonts w:hint="eastAsia" w:ascii="宋体" w:hAnsi="宋体" w:cs="宋体"/>
          <w:color w:val="000000"/>
          <w:sz w:val="24"/>
        </w:rPr>
        <w:t>1、本项目报价为分次报价，供应商响应文件中的报价作为第一次报价，不公开；以最终报价作为评审价。</w:t>
      </w:r>
    </w:p>
    <w:p w14:paraId="30388C3E">
      <w:pPr>
        <w:spacing w:line="500" w:lineRule="exact"/>
        <w:ind w:firstLine="480" w:firstLineChars="200"/>
        <w:rPr>
          <w:rFonts w:ascii="宋体" w:hAnsi="宋体" w:cs="宋体"/>
          <w:color w:val="000000"/>
          <w:sz w:val="24"/>
          <w:highlight w:val="yellow"/>
        </w:rPr>
      </w:pPr>
      <w:r>
        <w:rPr>
          <w:rFonts w:hint="eastAsia" w:ascii="宋体" w:hAnsi="宋体" w:cs="宋体"/>
          <w:color w:val="000000"/>
          <w:sz w:val="24"/>
        </w:rPr>
        <w:t>2、 本项目不接受备选的方案或有选择的报价，只允许有一个报价。报价内容包括：</w:t>
      </w:r>
      <w:r>
        <w:rPr>
          <w:rFonts w:hint="eastAsia" w:asciiTheme="minorEastAsia" w:hAnsiTheme="minorEastAsia" w:eastAsiaTheme="minorEastAsia" w:cstheme="minorEastAsia"/>
          <w:sz w:val="24"/>
          <w:szCs w:val="22"/>
        </w:rPr>
        <w:t>货物本身价格、配件、包装、运输、装卸、人工费、安装、调试、设备损耗、检测、利润、税金及设备交付使用过程中涉及的其他一切费用。</w:t>
      </w:r>
    </w:p>
    <w:p w14:paraId="0468EA1D">
      <w:pPr>
        <w:spacing w:line="500" w:lineRule="exact"/>
        <w:ind w:firstLine="480" w:firstLineChars="200"/>
        <w:rPr>
          <w:rFonts w:ascii="宋体" w:hAnsi="宋体" w:cs="宋体"/>
          <w:color w:val="000000"/>
          <w:sz w:val="24"/>
        </w:rPr>
      </w:pPr>
      <w:r>
        <w:rPr>
          <w:rFonts w:hint="eastAsia" w:ascii="宋体" w:hAnsi="宋体" w:cs="宋体"/>
          <w:color w:val="000000"/>
          <w:sz w:val="24"/>
        </w:rPr>
        <w:t>3、报价注意事项：</w:t>
      </w:r>
    </w:p>
    <w:p w14:paraId="47EA07DE">
      <w:pPr>
        <w:spacing w:line="500" w:lineRule="exact"/>
        <w:ind w:firstLine="480" w:firstLineChars="200"/>
        <w:rPr>
          <w:rFonts w:ascii="宋体" w:hAnsi="宋体" w:cs="宋体"/>
          <w:color w:val="000000"/>
          <w:sz w:val="24"/>
        </w:rPr>
      </w:pPr>
      <w:r>
        <w:rPr>
          <w:rFonts w:hint="eastAsia" w:ascii="宋体" w:hAnsi="宋体" w:cs="宋体"/>
          <w:color w:val="000000"/>
          <w:sz w:val="24"/>
        </w:rPr>
        <w:t>（1） 价格一律以人民币计算，以元为单位标准；</w:t>
      </w:r>
    </w:p>
    <w:p w14:paraId="783CA55D">
      <w:pPr>
        <w:spacing w:line="500" w:lineRule="exact"/>
        <w:ind w:firstLine="480" w:firstLineChars="200"/>
        <w:rPr>
          <w:rFonts w:ascii="宋体" w:hAnsi="宋体" w:cs="宋体"/>
          <w:color w:val="000000"/>
          <w:sz w:val="24"/>
        </w:rPr>
      </w:pPr>
      <w:r>
        <w:rPr>
          <w:rFonts w:hint="eastAsia" w:ascii="宋体" w:hAnsi="宋体" w:cs="宋体"/>
          <w:color w:val="000000"/>
          <w:sz w:val="24"/>
        </w:rPr>
        <w:t>（2）供应商报价时应充分考虑所有可能影响到报价的因素，一旦磋商结束最终成交，如发生漏、缺、少项，都将被认为是成交人的报价让利行为，损失自负。</w:t>
      </w:r>
    </w:p>
    <w:p w14:paraId="49A0D932">
      <w:pPr>
        <w:spacing w:line="500" w:lineRule="exact"/>
        <w:ind w:firstLine="241" w:firstLineChars="100"/>
        <w:rPr>
          <w:rFonts w:ascii="宋体" w:hAnsi="宋体" w:cs="宋体"/>
          <w:sz w:val="24"/>
        </w:rPr>
      </w:pPr>
      <w:r>
        <w:rPr>
          <w:rFonts w:hint="eastAsia" w:ascii="宋体" w:hAnsi="宋体" w:cs="宋体"/>
          <w:b/>
          <w:sz w:val="24"/>
        </w:rPr>
        <w:t>（十三）谈判保证金</w:t>
      </w:r>
      <w:bookmarkEnd w:id="26"/>
    </w:p>
    <w:p w14:paraId="3AB9291C">
      <w:pPr>
        <w:spacing w:line="500" w:lineRule="exact"/>
        <w:ind w:firstLine="480" w:firstLineChars="200"/>
        <w:jc w:val="left"/>
        <w:rPr>
          <w:rFonts w:ascii="宋体" w:hAnsi="宋体" w:cs="宋体"/>
          <w:sz w:val="24"/>
        </w:rPr>
      </w:pPr>
      <w:r>
        <w:rPr>
          <w:rFonts w:hint="eastAsia" w:ascii="宋体" w:hAnsi="宋体" w:cs="宋体"/>
          <w:sz w:val="24"/>
        </w:rPr>
        <w:t>供应商无需提交谈判保证金。</w:t>
      </w:r>
    </w:p>
    <w:p w14:paraId="0D138598">
      <w:pPr>
        <w:spacing w:line="500" w:lineRule="exact"/>
        <w:ind w:firstLine="482" w:firstLineChars="200"/>
        <w:jc w:val="left"/>
        <w:rPr>
          <w:rFonts w:ascii="宋体" w:hAnsi="宋体" w:cs="宋体"/>
          <w:sz w:val="24"/>
        </w:rPr>
      </w:pPr>
      <w:r>
        <w:rPr>
          <w:rFonts w:hint="eastAsia" w:ascii="宋体" w:hAnsi="宋体" w:cs="宋体"/>
          <w:b/>
          <w:sz w:val="24"/>
        </w:rPr>
        <w:t>（十四）响应文件有效期</w:t>
      </w:r>
    </w:p>
    <w:p w14:paraId="40F8C4BA">
      <w:pPr>
        <w:spacing w:line="500" w:lineRule="exact"/>
        <w:ind w:firstLine="480" w:firstLineChars="200"/>
        <w:jc w:val="left"/>
        <w:rPr>
          <w:rFonts w:ascii="宋体" w:hAnsi="宋体" w:cs="宋体"/>
          <w:sz w:val="24"/>
        </w:rPr>
      </w:pPr>
      <w:r>
        <w:rPr>
          <w:rFonts w:hint="eastAsia" w:ascii="宋体" w:hAnsi="宋体" w:cs="宋体"/>
          <w:sz w:val="24"/>
        </w:rPr>
        <w:t>1、响应文件有效期为采购文件规定的供应商提交响应文件截止之日起</w:t>
      </w:r>
      <w:r>
        <w:rPr>
          <w:rFonts w:hint="eastAsia" w:ascii="宋体" w:hAnsi="宋体" w:cs="宋体"/>
          <w:sz w:val="24"/>
          <w:u w:val="single"/>
        </w:rPr>
        <w:t>60</w:t>
      </w:r>
      <w:r>
        <w:rPr>
          <w:rFonts w:hint="eastAsia" w:ascii="宋体" w:hAnsi="宋体" w:cs="宋体"/>
          <w:sz w:val="24"/>
        </w:rPr>
        <w:t>天。响应文件有效期不满足采购文件要求的将视为非响应性文件而予以拒绝。</w:t>
      </w:r>
    </w:p>
    <w:p w14:paraId="229FE95E">
      <w:pPr>
        <w:spacing w:line="500" w:lineRule="exact"/>
        <w:ind w:firstLine="480" w:firstLineChars="200"/>
        <w:jc w:val="left"/>
        <w:rPr>
          <w:rFonts w:ascii="宋体" w:hAnsi="宋体" w:cs="宋体"/>
          <w:sz w:val="24"/>
        </w:rPr>
      </w:pPr>
      <w:r>
        <w:rPr>
          <w:rFonts w:hint="eastAsia" w:ascii="宋体" w:hAnsi="宋体" w:cs="宋体"/>
          <w:sz w:val="24"/>
        </w:rPr>
        <w:t>2、在特殊情况下，代理机构于原响应文件有效期满之前，可向供应商提出延长响应文件有效期的要求，这种要求与答复均应采用书面形式（如信件、传真或电报等），供应商可以拒绝代理机构的这一要求而放弃响应，谈判保证金应尽快退回，同意延长的供应商既不能要求也不允许修改其响应文件。第十三条有关谈判保证金的没收和退还的规定在延长期内继续有效。</w:t>
      </w:r>
    </w:p>
    <w:p w14:paraId="6BC86DCC">
      <w:pPr>
        <w:spacing w:line="500" w:lineRule="exact"/>
        <w:ind w:firstLine="236" w:firstLineChars="98"/>
        <w:jc w:val="left"/>
        <w:rPr>
          <w:rFonts w:ascii="宋体" w:hAnsi="宋体" w:cs="宋体"/>
          <w:sz w:val="24"/>
        </w:rPr>
      </w:pPr>
      <w:bookmarkStart w:id="27" w:name="_Toc914"/>
      <w:r>
        <w:rPr>
          <w:rFonts w:hint="eastAsia" w:ascii="宋体" w:hAnsi="宋体" w:cs="宋体"/>
          <w:b/>
          <w:sz w:val="24"/>
        </w:rPr>
        <w:t>（十五）响应文件份数和签署</w:t>
      </w:r>
      <w:bookmarkEnd w:id="27"/>
    </w:p>
    <w:p w14:paraId="03292339">
      <w:pPr>
        <w:spacing w:line="500" w:lineRule="exact"/>
        <w:ind w:firstLine="480" w:firstLineChars="200"/>
        <w:jc w:val="left"/>
        <w:rPr>
          <w:rFonts w:ascii="宋体" w:hAnsi="宋体" w:cs="宋体"/>
          <w:b/>
          <w:bCs/>
          <w:color w:val="FF0000"/>
          <w:sz w:val="24"/>
        </w:rPr>
      </w:pPr>
      <w:r>
        <w:rPr>
          <w:rFonts w:hint="eastAsia" w:ascii="宋体" w:hAnsi="宋体" w:cs="宋体"/>
          <w:sz w:val="24"/>
        </w:rPr>
        <w:t>1、供应商应严格按照供应商须知的要求准备响应文件，每份响应文件封面显著处必须清楚地标明“正本”“副本”字样。一旦正本和副本不符，以正本为准，</w:t>
      </w:r>
      <w:r>
        <w:rPr>
          <w:rFonts w:hint="eastAsia" w:ascii="宋体" w:hAnsi="宋体" w:cs="宋体"/>
          <w:b/>
          <w:bCs/>
          <w:color w:val="FF0000"/>
          <w:sz w:val="24"/>
        </w:rPr>
        <w:t>响应文件包括：纸质版正本一份，副本贰份，电子版一份（加盖供应商印章和签名，PDF电子版响应文件必须和纸质版响应文件一致）。</w:t>
      </w:r>
    </w:p>
    <w:p w14:paraId="5C38FBC6">
      <w:pPr>
        <w:spacing w:line="500" w:lineRule="exact"/>
        <w:ind w:firstLine="480" w:firstLineChars="200"/>
        <w:jc w:val="left"/>
        <w:rPr>
          <w:rFonts w:ascii="宋体" w:hAnsi="宋体" w:cs="宋体"/>
          <w:sz w:val="24"/>
        </w:rPr>
      </w:pPr>
      <w:r>
        <w:rPr>
          <w:rFonts w:hint="eastAsia" w:ascii="宋体" w:hAnsi="宋体" w:cs="宋体"/>
          <w:sz w:val="24"/>
        </w:rPr>
        <w:t>2、响应文件的正本和副本均需打印，必须由供应商法定代表人或其授权代表签字。授权代表须有法人代表以书面形式出具的“授权书”（附件）附在响应文件中。</w:t>
      </w:r>
    </w:p>
    <w:p w14:paraId="111FD25F">
      <w:pPr>
        <w:spacing w:line="500" w:lineRule="exact"/>
        <w:ind w:firstLine="480" w:firstLineChars="200"/>
        <w:jc w:val="left"/>
        <w:rPr>
          <w:rFonts w:ascii="宋体" w:hAnsi="宋体" w:cs="宋体"/>
          <w:sz w:val="24"/>
        </w:rPr>
      </w:pPr>
      <w:r>
        <w:rPr>
          <w:rFonts w:hint="eastAsia" w:ascii="宋体" w:hAnsi="宋体" w:cs="宋体"/>
          <w:sz w:val="24"/>
        </w:rPr>
        <w:t>3、除供应商对错处做必要修改外，响应文件不得行间插字、涂改或增删，必要的修改处必须有响应单位法人代表或其授权代表人签字并盖公章。</w:t>
      </w:r>
    </w:p>
    <w:p w14:paraId="0CD63F29">
      <w:pPr>
        <w:spacing w:line="500" w:lineRule="exact"/>
        <w:ind w:firstLine="482" w:firstLineChars="200"/>
        <w:jc w:val="left"/>
        <w:rPr>
          <w:rFonts w:ascii="宋体" w:hAnsi="宋体" w:cs="宋体"/>
          <w:b/>
          <w:sz w:val="24"/>
        </w:rPr>
      </w:pPr>
      <w:bookmarkStart w:id="28" w:name="_Toc20640"/>
      <w:r>
        <w:rPr>
          <w:rFonts w:hint="eastAsia" w:ascii="宋体" w:hAnsi="宋体" w:cs="宋体"/>
          <w:b/>
          <w:sz w:val="24"/>
        </w:rPr>
        <w:t>（十六）响应文件密封和装订</w:t>
      </w:r>
      <w:bookmarkEnd w:id="28"/>
    </w:p>
    <w:p w14:paraId="1241C7A9">
      <w:pPr>
        <w:spacing w:line="500" w:lineRule="exact"/>
        <w:ind w:firstLine="482" w:firstLineChars="200"/>
        <w:rPr>
          <w:rFonts w:ascii="宋体" w:hAnsi="宋体" w:cs="宋体"/>
          <w:b/>
          <w:bCs/>
          <w:color w:val="FF0000"/>
          <w:sz w:val="24"/>
        </w:rPr>
      </w:pPr>
      <w:r>
        <w:rPr>
          <w:rFonts w:hint="eastAsia" w:ascii="宋体" w:hAnsi="宋体" w:cs="宋体"/>
          <w:b/>
          <w:bCs/>
          <w:color w:val="FF0000"/>
          <w:sz w:val="24"/>
        </w:rPr>
        <w:t>1、供应商应将响应文件分正本、副本和电子版密封包装，密封件外层正面应注明供应商名称、采购项目名称、项目编号，并在骑缝处加盖公章，因标注不清而产生后果的由供应商自负。</w:t>
      </w:r>
    </w:p>
    <w:p w14:paraId="009567FA">
      <w:pPr>
        <w:spacing w:line="500" w:lineRule="exact"/>
        <w:ind w:firstLine="480" w:firstLineChars="200"/>
        <w:rPr>
          <w:rFonts w:ascii="宋体" w:hAnsi="宋体" w:cs="宋体"/>
          <w:b/>
          <w:sz w:val="24"/>
        </w:rPr>
      </w:pPr>
      <w:r>
        <w:rPr>
          <w:rFonts w:hint="eastAsia" w:ascii="宋体" w:hAnsi="宋体" w:cs="宋体"/>
          <w:sz w:val="24"/>
        </w:rPr>
        <w:t>2、除特别说明外，全套响应文件的书面部分均使用A4规格纸张无线胶装方式装订，</w:t>
      </w:r>
      <w:r>
        <w:rPr>
          <w:rFonts w:hint="eastAsia" w:ascii="宋体" w:hAnsi="宋体" w:cs="宋体"/>
          <w:b/>
          <w:sz w:val="24"/>
        </w:rPr>
        <w:t>不得采用活页夹等可随时拆换的方式装订。</w:t>
      </w:r>
    </w:p>
    <w:p w14:paraId="7EC2A387">
      <w:pPr>
        <w:spacing w:line="500" w:lineRule="exact"/>
        <w:ind w:firstLine="470" w:firstLineChars="196"/>
        <w:rPr>
          <w:rFonts w:ascii="宋体" w:hAnsi="宋体" w:cs="宋体"/>
          <w:sz w:val="24"/>
        </w:rPr>
      </w:pPr>
      <w:r>
        <w:rPr>
          <w:rFonts w:hint="eastAsia" w:ascii="宋体" w:hAnsi="宋体" w:cs="宋体"/>
          <w:sz w:val="24"/>
        </w:rPr>
        <w:t>3、密封件外层正面应注明供应商名称、采购项目名称、项目编号等字样，并在骑缝处加盖公章，因标注不清而产生后果的由供应商自负。</w:t>
      </w:r>
    </w:p>
    <w:p w14:paraId="0C087DB7">
      <w:pPr>
        <w:spacing w:line="500" w:lineRule="exact"/>
        <w:ind w:firstLine="472" w:firstLineChars="196"/>
        <w:rPr>
          <w:rFonts w:ascii="宋体" w:hAnsi="宋体" w:cs="宋体"/>
          <w:sz w:val="24"/>
        </w:rPr>
      </w:pPr>
      <w:r>
        <w:rPr>
          <w:rFonts w:hint="eastAsia" w:ascii="宋体" w:hAnsi="宋体" w:cs="宋体"/>
          <w:b/>
          <w:bCs/>
          <w:color w:val="0000FF"/>
          <w:sz w:val="24"/>
        </w:rPr>
        <w:t>若未按第十五条、第十六条要求制作、装订、密封和加写标记，采购人和代理机构不接受其响应文件。</w:t>
      </w:r>
    </w:p>
    <w:p w14:paraId="3CCB8450">
      <w:pPr>
        <w:spacing w:line="500" w:lineRule="exact"/>
        <w:ind w:firstLine="723" w:firstLineChars="200"/>
        <w:rPr>
          <w:rFonts w:ascii="宋体" w:hAnsi="宋体" w:cs="宋体"/>
          <w:b/>
          <w:bCs/>
          <w:sz w:val="36"/>
        </w:rPr>
      </w:pPr>
    </w:p>
    <w:p w14:paraId="669FB8B1">
      <w:pPr>
        <w:spacing w:line="500" w:lineRule="exact"/>
        <w:ind w:firstLine="723" w:firstLineChars="200"/>
        <w:jc w:val="center"/>
        <w:outlineLvl w:val="1"/>
        <w:rPr>
          <w:rFonts w:ascii="宋体" w:hAnsi="宋体" w:cs="宋体"/>
          <w:sz w:val="36"/>
        </w:rPr>
      </w:pPr>
      <w:bookmarkStart w:id="29" w:name="_Toc12660"/>
      <w:bookmarkStart w:id="30" w:name="_Toc30979"/>
      <w:r>
        <w:rPr>
          <w:rFonts w:hint="eastAsia" w:ascii="宋体" w:hAnsi="宋体" w:cs="宋体"/>
          <w:b/>
          <w:bCs/>
          <w:sz w:val="36"/>
        </w:rPr>
        <w:t>四、响应文件的递交</w:t>
      </w:r>
      <w:bookmarkEnd w:id="29"/>
      <w:bookmarkEnd w:id="30"/>
    </w:p>
    <w:p w14:paraId="187D5105">
      <w:pPr>
        <w:spacing w:line="500" w:lineRule="exact"/>
        <w:ind w:firstLine="236" w:firstLineChars="98"/>
        <w:jc w:val="left"/>
        <w:rPr>
          <w:rFonts w:ascii="宋体" w:hAnsi="宋体" w:cs="宋体"/>
          <w:b/>
          <w:sz w:val="24"/>
        </w:rPr>
      </w:pPr>
      <w:bookmarkStart w:id="31" w:name="_Toc2027"/>
      <w:r>
        <w:rPr>
          <w:rFonts w:hint="eastAsia" w:ascii="宋体" w:hAnsi="宋体" w:cs="宋体"/>
          <w:b/>
          <w:sz w:val="24"/>
        </w:rPr>
        <w:t>（十七）响应文件递交方式</w:t>
      </w:r>
      <w:bookmarkEnd w:id="31"/>
    </w:p>
    <w:p w14:paraId="1A99E3D1">
      <w:pPr>
        <w:spacing w:line="500" w:lineRule="exact"/>
        <w:ind w:firstLine="470" w:firstLineChars="196"/>
        <w:rPr>
          <w:rFonts w:ascii="宋体" w:hAnsi="宋体" w:cs="宋体"/>
          <w:sz w:val="24"/>
        </w:rPr>
      </w:pPr>
      <w:r>
        <w:rPr>
          <w:rFonts w:hint="eastAsia" w:ascii="宋体" w:hAnsi="宋体" w:cs="宋体"/>
          <w:sz w:val="24"/>
        </w:rPr>
        <w:t>1、所有响应文件都必须在采购文件规定的递交截止时间前送达指定谈判现场，代理机构对误投或过早启封概不负责。</w:t>
      </w:r>
    </w:p>
    <w:p w14:paraId="1CC588D8">
      <w:pPr>
        <w:spacing w:line="500" w:lineRule="exact"/>
        <w:ind w:firstLine="470" w:firstLineChars="196"/>
        <w:rPr>
          <w:rFonts w:ascii="宋体" w:hAnsi="宋体" w:cs="宋体"/>
          <w:sz w:val="24"/>
        </w:rPr>
      </w:pPr>
      <w:r>
        <w:rPr>
          <w:rFonts w:hint="eastAsia" w:ascii="宋体" w:hAnsi="宋体" w:cs="宋体"/>
          <w:sz w:val="24"/>
        </w:rPr>
        <w:t>2、代理机构将在采购文件规定的时间和地点组织谈判会议，供应商必须派法定代表人或其授权的委托人员出席会议。</w:t>
      </w:r>
    </w:p>
    <w:p w14:paraId="611F779F">
      <w:pPr>
        <w:spacing w:line="500" w:lineRule="exact"/>
        <w:ind w:firstLine="480" w:firstLineChars="200"/>
        <w:jc w:val="left"/>
        <w:rPr>
          <w:rFonts w:ascii="宋体" w:hAnsi="宋体" w:cs="宋体"/>
          <w:sz w:val="24"/>
        </w:rPr>
      </w:pPr>
      <w:r>
        <w:rPr>
          <w:rFonts w:hint="eastAsia" w:ascii="宋体" w:hAnsi="宋体" w:cs="宋体"/>
          <w:sz w:val="24"/>
        </w:rPr>
        <w:t>3、代理机构可以通过修改采购文件酌情延长响应文件接收截止日期，在此情况下，供应商的所有权利和义务以及供应商受制约的截止日期均应以延长后新的截止日期为准。</w:t>
      </w:r>
    </w:p>
    <w:p w14:paraId="0F3CEE99">
      <w:pPr>
        <w:spacing w:line="500" w:lineRule="exact"/>
        <w:ind w:firstLine="236" w:firstLineChars="98"/>
        <w:jc w:val="left"/>
        <w:rPr>
          <w:rFonts w:ascii="宋体" w:hAnsi="宋体" w:cs="宋体"/>
          <w:sz w:val="24"/>
        </w:rPr>
      </w:pPr>
      <w:bookmarkStart w:id="32" w:name="_Toc26338"/>
      <w:r>
        <w:rPr>
          <w:rFonts w:hint="eastAsia" w:ascii="宋体" w:hAnsi="宋体" w:cs="宋体"/>
          <w:b/>
          <w:sz w:val="24"/>
        </w:rPr>
        <w:t>（十八）迟交的响应文件</w:t>
      </w:r>
      <w:bookmarkEnd w:id="32"/>
    </w:p>
    <w:p w14:paraId="2F9A2346">
      <w:pPr>
        <w:spacing w:line="500" w:lineRule="exact"/>
        <w:ind w:firstLine="470" w:firstLineChars="196"/>
        <w:rPr>
          <w:rFonts w:ascii="宋体" w:hAnsi="宋体" w:cs="宋体"/>
          <w:sz w:val="24"/>
        </w:rPr>
      </w:pPr>
      <w:r>
        <w:rPr>
          <w:rFonts w:hint="eastAsia" w:ascii="宋体" w:hAnsi="宋体" w:cs="宋体"/>
          <w:sz w:val="24"/>
        </w:rPr>
        <w:t>代理机构将拒绝接收在规定的截止时间后递交的任何响应文件。</w:t>
      </w:r>
      <w:bookmarkStart w:id="33" w:name="_Toc213839733"/>
    </w:p>
    <w:p w14:paraId="4747F70A">
      <w:pPr>
        <w:spacing w:line="500" w:lineRule="exact"/>
        <w:ind w:firstLine="241" w:firstLineChars="100"/>
        <w:rPr>
          <w:rFonts w:ascii="宋体" w:hAnsi="宋体" w:cs="宋体"/>
          <w:b/>
          <w:sz w:val="24"/>
        </w:rPr>
      </w:pPr>
      <w:bookmarkStart w:id="34" w:name="_Toc31579"/>
      <w:r>
        <w:rPr>
          <w:rFonts w:hint="eastAsia" w:ascii="宋体" w:hAnsi="宋体" w:cs="宋体"/>
          <w:b/>
          <w:sz w:val="24"/>
        </w:rPr>
        <w:t>（十九）响应文件的修改</w:t>
      </w:r>
      <w:bookmarkEnd w:id="33"/>
      <w:bookmarkEnd w:id="34"/>
    </w:p>
    <w:p w14:paraId="2EDD26D5">
      <w:pPr>
        <w:spacing w:line="500" w:lineRule="exact"/>
        <w:ind w:firstLine="470" w:firstLineChars="196"/>
        <w:rPr>
          <w:rFonts w:ascii="宋体" w:hAnsi="宋体" w:cs="宋体"/>
          <w:sz w:val="24"/>
        </w:rPr>
      </w:pPr>
      <w:r>
        <w:rPr>
          <w:rFonts w:hint="eastAsia" w:ascii="宋体" w:hAnsi="宋体" w:cs="宋体"/>
          <w:sz w:val="24"/>
        </w:rPr>
        <w:t>供应商在递交响应文件截止时间之前，对所递交的响应文件可以补充、修改，补充、修改的内容为响应文件的组成部分，对响应供应商具有约束力。</w:t>
      </w:r>
      <w:bookmarkStart w:id="35" w:name="_Toc213839734"/>
    </w:p>
    <w:p w14:paraId="752777F1">
      <w:pPr>
        <w:spacing w:line="600" w:lineRule="exact"/>
        <w:ind w:firstLine="200"/>
        <w:jc w:val="center"/>
        <w:rPr>
          <w:rFonts w:ascii="宋体" w:hAnsi="宋体" w:cs="宋体"/>
          <w:b/>
          <w:bCs/>
          <w:sz w:val="36"/>
        </w:rPr>
      </w:pPr>
      <w:bookmarkStart w:id="36" w:name="_Toc24710"/>
    </w:p>
    <w:p w14:paraId="06314C18">
      <w:pPr>
        <w:spacing w:line="600" w:lineRule="exact"/>
        <w:ind w:firstLine="200"/>
        <w:jc w:val="center"/>
        <w:outlineLvl w:val="1"/>
        <w:rPr>
          <w:rFonts w:ascii="宋体" w:hAnsi="宋体" w:cs="宋体"/>
          <w:sz w:val="36"/>
        </w:rPr>
      </w:pPr>
      <w:bookmarkStart w:id="37" w:name="_Toc7115"/>
      <w:r>
        <w:rPr>
          <w:rFonts w:hint="eastAsia" w:ascii="宋体" w:hAnsi="宋体" w:cs="宋体"/>
          <w:b/>
          <w:bCs/>
          <w:sz w:val="36"/>
        </w:rPr>
        <w:t>五、无效标、废标条款</w:t>
      </w:r>
      <w:bookmarkEnd w:id="36"/>
      <w:bookmarkEnd w:id="37"/>
    </w:p>
    <w:p w14:paraId="2C40EBCB">
      <w:pPr>
        <w:spacing w:line="500" w:lineRule="exact"/>
        <w:ind w:firstLine="236" w:firstLineChars="98"/>
        <w:jc w:val="left"/>
        <w:rPr>
          <w:rFonts w:ascii="宋体" w:hAnsi="宋体" w:cs="宋体"/>
          <w:b/>
          <w:sz w:val="24"/>
        </w:rPr>
      </w:pPr>
      <w:bookmarkStart w:id="38" w:name="_Toc25905"/>
      <w:r>
        <w:rPr>
          <w:rFonts w:hint="eastAsia" w:ascii="宋体" w:hAnsi="宋体" w:cs="宋体"/>
          <w:b/>
          <w:sz w:val="24"/>
        </w:rPr>
        <w:t>（二十）无效标条款</w:t>
      </w:r>
      <w:bookmarkEnd w:id="38"/>
    </w:p>
    <w:p w14:paraId="51A291A1">
      <w:pPr>
        <w:spacing w:line="500" w:lineRule="exact"/>
        <w:ind w:firstLine="480" w:firstLineChars="200"/>
        <w:jc w:val="left"/>
        <w:rPr>
          <w:rFonts w:ascii="宋体" w:hAnsi="宋体" w:cs="宋体"/>
          <w:sz w:val="24"/>
        </w:rPr>
      </w:pPr>
      <w:r>
        <w:rPr>
          <w:rFonts w:hint="eastAsia" w:ascii="宋体" w:hAnsi="宋体" w:cs="宋体"/>
          <w:sz w:val="24"/>
        </w:rPr>
        <w:t>1、供应商资格不符合采购文件规定或未按规定提交资格证书原件的；</w:t>
      </w:r>
    </w:p>
    <w:p w14:paraId="64B9A0E2">
      <w:pPr>
        <w:spacing w:line="500" w:lineRule="exact"/>
        <w:ind w:firstLine="482" w:firstLineChars="200"/>
        <w:jc w:val="left"/>
        <w:rPr>
          <w:rFonts w:ascii="宋体" w:hAnsi="宋体" w:cs="宋体"/>
          <w:b/>
          <w:sz w:val="24"/>
        </w:rPr>
      </w:pPr>
      <w:r>
        <w:rPr>
          <w:rFonts w:hint="eastAsia" w:ascii="宋体" w:hAnsi="宋体" w:cs="宋体"/>
          <w:b/>
          <w:sz w:val="24"/>
        </w:rPr>
        <w:t>2、响应文件编制、密封、签署、盖章和装订不符合采购文件要求的；</w:t>
      </w:r>
    </w:p>
    <w:p w14:paraId="405DDE4F">
      <w:pPr>
        <w:spacing w:line="500" w:lineRule="exact"/>
        <w:ind w:firstLine="480" w:firstLineChars="200"/>
        <w:jc w:val="left"/>
        <w:rPr>
          <w:rFonts w:ascii="宋体" w:hAnsi="宋体" w:cs="宋体"/>
          <w:sz w:val="24"/>
        </w:rPr>
      </w:pPr>
      <w:r>
        <w:rPr>
          <w:rFonts w:hint="eastAsia" w:ascii="宋体" w:hAnsi="宋体" w:cs="宋体"/>
          <w:sz w:val="24"/>
        </w:rPr>
        <w:t>3、响应文件出现重大偏差，未对采购文件进行实质性响应（★部分为实质性要求）；</w:t>
      </w:r>
    </w:p>
    <w:p w14:paraId="6C265F3A">
      <w:pPr>
        <w:spacing w:line="500" w:lineRule="exact"/>
        <w:ind w:firstLine="470" w:firstLineChars="196"/>
        <w:rPr>
          <w:rFonts w:ascii="宋体" w:hAnsi="宋体" w:cs="宋体"/>
          <w:sz w:val="24"/>
        </w:rPr>
      </w:pPr>
      <w:r>
        <w:rPr>
          <w:rFonts w:hint="eastAsia" w:ascii="宋体" w:hAnsi="宋体" w:cs="宋体"/>
          <w:sz w:val="24"/>
        </w:rPr>
        <w:t>（1）响应文件中的竞标函未加盖供应商的公章及供应商法定代表人或其委托代理人盖章或签字的，或者委托代理人没有合法、有效的授权委托书原件；</w:t>
      </w:r>
    </w:p>
    <w:p w14:paraId="17202ECE">
      <w:pPr>
        <w:spacing w:line="500" w:lineRule="exact"/>
        <w:ind w:firstLine="470" w:firstLineChars="196"/>
        <w:rPr>
          <w:rFonts w:ascii="宋体" w:hAnsi="宋体" w:cs="宋体"/>
          <w:sz w:val="24"/>
        </w:rPr>
      </w:pPr>
      <w:r>
        <w:rPr>
          <w:rFonts w:hint="eastAsia" w:ascii="宋体" w:hAnsi="宋体" w:cs="宋体"/>
          <w:sz w:val="24"/>
        </w:rPr>
        <w:t>（2）未按采购文件规定格式填写，内容不全或关键字迹模糊、无法辨认；</w:t>
      </w:r>
    </w:p>
    <w:p w14:paraId="48B05CB1">
      <w:pPr>
        <w:spacing w:line="500" w:lineRule="exact"/>
        <w:ind w:firstLine="470" w:firstLineChars="196"/>
        <w:rPr>
          <w:rFonts w:ascii="宋体" w:hAnsi="宋体" w:cs="宋体"/>
          <w:sz w:val="24"/>
        </w:rPr>
      </w:pPr>
      <w:r>
        <w:rPr>
          <w:rFonts w:hint="eastAsia" w:ascii="宋体" w:hAnsi="宋体" w:cs="宋体"/>
          <w:sz w:val="24"/>
        </w:rPr>
        <w:t>（3）供应商递交两份或多份内容不同的响应文件，或在一份响应文件中对同一采购项目报有两个或多个报价，且未声明哪一个有效，按采购文件规定提交备选竞标方案的除外；</w:t>
      </w:r>
    </w:p>
    <w:p w14:paraId="30E0D38F">
      <w:pPr>
        <w:spacing w:line="500" w:lineRule="exact"/>
        <w:ind w:firstLine="470" w:firstLineChars="196"/>
        <w:rPr>
          <w:rFonts w:ascii="宋体" w:hAnsi="宋体" w:cs="宋体"/>
          <w:sz w:val="24"/>
        </w:rPr>
      </w:pPr>
      <w:r>
        <w:rPr>
          <w:rFonts w:hint="eastAsia" w:ascii="宋体" w:hAnsi="宋体" w:cs="宋体"/>
          <w:sz w:val="24"/>
        </w:rPr>
        <w:t>（4）除在响应文件截止时间前经采购人书面同意外，项目负责人与资格审查时不一致；</w:t>
      </w:r>
    </w:p>
    <w:p w14:paraId="3C20E5F2">
      <w:pPr>
        <w:spacing w:line="500" w:lineRule="exact"/>
        <w:ind w:firstLine="470" w:firstLineChars="196"/>
        <w:rPr>
          <w:rFonts w:ascii="宋体" w:hAnsi="宋体" w:cs="宋体"/>
          <w:sz w:val="24"/>
        </w:rPr>
      </w:pPr>
      <w:r>
        <w:rPr>
          <w:rFonts w:hint="eastAsia" w:ascii="宋体" w:hAnsi="宋体" w:cs="宋体"/>
          <w:sz w:val="24"/>
        </w:rPr>
        <w:t>（5）供应商资格条件不符合国家有关规定或采购文件要求；</w:t>
      </w:r>
    </w:p>
    <w:p w14:paraId="55225C50">
      <w:pPr>
        <w:spacing w:line="500" w:lineRule="exact"/>
        <w:ind w:firstLine="470" w:firstLineChars="196"/>
        <w:rPr>
          <w:rFonts w:ascii="宋体" w:hAnsi="宋体" w:cs="宋体"/>
          <w:sz w:val="24"/>
        </w:rPr>
      </w:pPr>
      <w:r>
        <w:rPr>
          <w:rFonts w:hint="eastAsia" w:ascii="宋体" w:hAnsi="宋体" w:cs="宋体"/>
          <w:sz w:val="24"/>
        </w:rPr>
        <w:t>（6）响应文件载明的采购项目完成工期超过采购文件规定的期限；</w:t>
      </w:r>
    </w:p>
    <w:p w14:paraId="223C5C61">
      <w:pPr>
        <w:spacing w:line="500" w:lineRule="exact"/>
        <w:ind w:firstLine="470" w:firstLineChars="196"/>
        <w:rPr>
          <w:rFonts w:ascii="宋体" w:hAnsi="宋体" w:cs="宋体"/>
          <w:sz w:val="24"/>
        </w:rPr>
      </w:pPr>
      <w:r>
        <w:rPr>
          <w:rFonts w:hint="eastAsia" w:ascii="宋体" w:hAnsi="宋体" w:cs="宋体"/>
          <w:sz w:val="24"/>
        </w:rPr>
        <w:t>（7）明显不符合技术规范、技术标准的要求；</w:t>
      </w:r>
    </w:p>
    <w:p w14:paraId="00B0BDA0">
      <w:pPr>
        <w:spacing w:line="500" w:lineRule="exact"/>
        <w:ind w:firstLine="470" w:firstLineChars="196"/>
        <w:rPr>
          <w:rFonts w:ascii="宋体" w:hAnsi="宋体" w:cs="宋体"/>
          <w:sz w:val="24"/>
        </w:rPr>
      </w:pPr>
      <w:r>
        <w:rPr>
          <w:rFonts w:hint="eastAsia" w:ascii="宋体" w:hAnsi="宋体" w:cs="宋体"/>
          <w:sz w:val="24"/>
        </w:rPr>
        <w:t>（8）报价超过采购文件规定的最高限价；</w:t>
      </w:r>
    </w:p>
    <w:p w14:paraId="17674213">
      <w:pPr>
        <w:spacing w:line="500" w:lineRule="exact"/>
        <w:ind w:firstLine="470" w:firstLineChars="196"/>
        <w:rPr>
          <w:rFonts w:ascii="宋体" w:hAnsi="宋体" w:cs="宋体"/>
          <w:sz w:val="24"/>
        </w:rPr>
      </w:pPr>
      <w:r>
        <w:rPr>
          <w:rFonts w:hint="eastAsia" w:ascii="宋体" w:hAnsi="宋体" w:cs="宋体"/>
          <w:sz w:val="24"/>
        </w:rPr>
        <w:t>（9）改变采购文件提供清单中的计量单位、采购数量；</w:t>
      </w:r>
    </w:p>
    <w:p w14:paraId="6F5E870D">
      <w:pPr>
        <w:spacing w:line="500" w:lineRule="exact"/>
        <w:ind w:firstLine="470" w:firstLineChars="196"/>
        <w:rPr>
          <w:rFonts w:ascii="宋体" w:hAnsi="宋体" w:cs="宋体"/>
          <w:sz w:val="24"/>
        </w:rPr>
      </w:pPr>
      <w:r>
        <w:rPr>
          <w:rFonts w:hint="eastAsia" w:ascii="宋体" w:hAnsi="宋体" w:cs="宋体"/>
          <w:sz w:val="24"/>
        </w:rPr>
        <w:t>（10）经谈判小组认定供应商的报价低于成本价的。</w:t>
      </w:r>
    </w:p>
    <w:p w14:paraId="186FF340">
      <w:pPr>
        <w:spacing w:line="500" w:lineRule="exact"/>
        <w:ind w:firstLine="480" w:firstLineChars="200"/>
        <w:jc w:val="left"/>
        <w:rPr>
          <w:rFonts w:ascii="宋体" w:hAnsi="宋体" w:cs="宋体"/>
          <w:sz w:val="24"/>
        </w:rPr>
      </w:pPr>
      <w:r>
        <w:rPr>
          <w:rFonts w:hint="eastAsia" w:ascii="宋体" w:hAnsi="宋体" w:cs="宋体"/>
          <w:sz w:val="24"/>
        </w:rPr>
        <w:t>4、法人代表（或被授权人）不参加谈判仪式及质询事宜的；</w:t>
      </w:r>
    </w:p>
    <w:p w14:paraId="19D3A150">
      <w:pPr>
        <w:spacing w:line="500" w:lineRule="exact"/>
        <w:ind w:firstLine="480" w:firstLineChars="200"/>
        <w:jc w:val="left"/>
        <w:rPr>
          <w:rFonts w:ascii="宋体" w:hAnsi="宋体" w:cs="宋体"/>
          <w:sz w:val="24"/>
        </w:rPr>
      </w:pPr>
      <w:r>
        <w:rPr>
          <w:rFonts w:hint="eastAsia" w:ascii="宋体" w:hAnsi="宋体" w:cs="宋体"/>
          <w:sz w:val="24"/>
        </w:rPr>
        <w:t>5、其他谈判小组认为有必要取消的响应；</w:t>
      </w:r>
    </w:p>
    <w:p w14:paraId="66E04357">
      <w:pPr>
        <w:spacing w:line="500" w:lineRule="exact"/>
        <w:ind w:firstLine="480" w:firstLineChars="200"/>
        <w:jc w:val="left"/>
        <w:rPr>
          <w:rFonts w:ascii="宋体" w:hAnsi="宋体" w:cs="宋体"/>
          <w:sz w:val="24"/>
        </w:rPr>
      </w:pPr>
      <w:r>
        <w:rPr>
          <w:rFonts w:hint="eastAsia" w:ascii="宋体" w:hAnsi="宋体" w:cs="宋体"/>
          <w:sz w:val="24"/>
        </w:rPr>
        <w:t>6、法律法规规定的其他情况。</w:t>
      </w:r>
    </w:p>
    <w:p w14:paraId="4484532C">
      <w:pPr>
        <w:snapToGrid w:val="0"/>
        <w:spacing w:line="500" w:lineRule="exact"/>
        <w:ind w:firstLine="236" w:firstLineChars="98"/>
        <w:rPr>
          <w:rFonts w:ascii="宋体" w:hAnsi="宋体" w:cs="宋体"/>
          <w:b/>
          <w:sz w:val="24"/>
        </w:rPr>
      </w:pPr>
      <w:r>
        <w:rPr>
          <w:rFonts w:hint="eastAsia" w:ascii="宋体" w:hAnsi="宋体" w:cs="宋体"/>
          <w:b/>
          <w:sz w:val="24"/>
        </w:rPr>
        <w:t>（二十一）终止采购活动的情形</w:t>
      </w:r>
    </w:p>
    <w:p w14:paraId="23778E69">
      <w:pPr>
        <w:spacing w:line="500" w:lineRule="exact"/>
        <w:ind w:firstLine="470" w:firstLineChars="196"/>
        <w:rPr>
          <w:rFonts w:ascii="宋体" w:hAnsi="宋体" w:cs="宋体"/>
          <w:sz w:val="24"/>
        </w:rPr>
      </w:pPr>
      <w:r>
        <w:rPr>
          <w:rFonts w:hint="eastAsia" w:ascii="宋体" w:hAnsi="宋体" w:cs="宋体"/>
          <w:sz w:val="24"/>
        </w:rPr>
        <w:t>出现下列情形之一的，采购人或者采购代理机构应当终止竞争性谈判采购活动，发布项目终止公告并说明原因，重新开展采购活动：</w:t>
      </w:r>
    </w:p>
    <w:p w14:paraId="3C9F1A4D">
      <w:pPr>
        <w:spacing w:line="500" w:lineRule="exact"/>
        <w:ind w:firstLine="470" w:firstLineChars="196"/>
        <w:rPr>
          <w:rFonts w:ascii="宋体" w:hAnsi="宋体" w:cs="宋体"/>
          <w:sz w:val="24"/>
        </w:rPr>
      </w:pPr>
      <w:r>
        <w:rPr>
          <w:rFonts w:hint="eastAsia" w:ascii="宋体" w:hAnsi="宋体" w:cs="宋体"/>
          <w:sz w:val="24"/>
        </w:rPr>
        <w:t>（一）因情况变化，不再符合规定的竞争性谈判采购方式适用情形的；</w:t>
      </w:r>
    </w:p>
    <w:p w14:paraId="3EC0D2BD">
      <w:pPr>
        <w:spacing w:line="500" w:lineRule="exact"/>
        <w:ind w:firstLine="470" w:firstLineChars="196"/>
        <w:rPr>
          <w:rFonts w:ascii="宋体" w:hAnsi="宋体" w:cs="宋体"/>
          <w:sz w:val="24"/>
        </w:rPr>
      </w:pPr>
      <w:r>
        <w:rPr>
          <w:rFonts w:hint="eastAsia" w:ascii="宋体" w:hAnsi="宋体" w:cs="宋体"/>
          <w:sz w:val="24"/>
        </w:rPr>
        <w:t>（二）出现影响采购公正的违法、违规行为的；</w:t>
      </w:r>
    </w:p>
    <w:p w14:paraId="0661838A">
      <w:pPr>
        <w:spacing w:line="500" w:lineRule="exact"/>
        <w:ind w:firstLine="470" w:firstLineChars="196"/>
        <w:rPr>
          <w:rFonts w:ascii="宋体" w:hAnsi="宋体" w:cs="宋体"/>
          <w:sz w:val="24"/>
        </w:rPr>
      </w:pPr>
      <w:r>
        <w:rPr>
          <w:rFonts w:hint="eastAsia" w:ascii="宋体" w:hAnsi="宋体" w:cs="宋体"/>
          <w:sz w:val="24"/>
        </w:rPr>
        <w:t>（三）在评审期间，出现符合条件的供应商或者对采购文件做出实质响应的供应商不足三家情形的。</w:t>
      </w:r>
    </w:p>
    <w:p w14:paraId="660007AB">
      <w:pPr>
        <w:snapToGrid w:val="0"/>
        <w:spacing w:line="500" w:lineRule="exact"/>
        <w:ind w:firstLine="241" w:firstLineChars="100"/>
        <w:rPr>
          <w:rFonts w:ascii="宋体" w:hAnsi="宋体" w:cs="宋体"/>
          <w:sz w:val="24"/>
        </w:rPr>
      </w:pPr>
      <w:bookmarkStart w:id="39" w:name="_Toc9946"/>
      <w:r>
        <w:rPr>
          <w:rFonts w:hint="eastAsia" w:ascii="宋体" w:hAnsi="宋体" w:cs="宋体"/>
          <w:b/>
          <w:sz w:val="24"/>
        </w:rPr>
        <w:t>（二十二）取消成交候选人资格条款</w:t>
      </w:r>
      <w:bookmarkEnd w:id="39"/>
    </w:p>
    <w:p w14:paraId="2A33105A">
      <w:pPr>
        <w:snapToGrid w:val="0"/>
        <w:spacing w:line="500" w:lineRule="exact"/>
        <w:ind w:firstLine="480" w:firstLineChars="200"/>
        <w:rPr>
          <w:rFonts w:ascii="宋体" w:hAnsi="宋体" w:cs="宋体"/>
          <w:sz w:val="24"/>
        </w:rPr>
      </w:pPr>
      <w:r>
        <w:rPr>
          <w:rFonts w:hint="eastAsia" w:ascii="宋体" w:hAnsi="宋体" w:cs="宋体"/>
          <w:sz w:val="24"/>
        </w:rPr>
        <w:t>1、提供虚假材料谋取成交的；</w:t>
      </w:r>
    </w:p>
    <w:p w14:paraId="04070F63">
      <w:pPr>
        <w:snapToGrid w:val="0"/>
        <w:spacing w:line="500" w:lineRule="exact"/>
        <w:ind w:firstLine="480" w:firstLineChars="200"/>
        <w:rPr>
          <w:rFonts w:ascii="宋体" w:hAnsi="宋体" w:cs="宋体"/>
          <w:sz w:val="24"/>
        </w:rPr>
      </w:pPr>
      <w:r>
        <w:rPr>
          <w:rFonts w:hint="eastAsia" w:ascii="宋体" w:hAnsi="宋体" w:cs="宋体"/>
          <w:sz w:val="24"/>
        </w:rPr>
        <w:t>2、采取不正当手段诋毁、排挤其他供应商的；</w:t>
      </w:r>
    </w:p>
    <w:p w14:paraId="1DE5EF68">
      <w:pPr>
        <w:snapToGrid w:val="0"/>
        <w:spacing w:line="500" w:lineRule="exact"/>
        <w:ind w:firstLine="480" w:firstLineChars="200"/>
        <w:rPr>
          <w:rFonts w:ascii="宋体" w:hAnsi="宋体" w:cs="宋体"/>
          <w:sz w:val="24"/>
        </w:rPr>
      </w:pPr>
      <w:r>
        <w:rPr>
          <w:rFonts w:hint="eastAsia" w:ascii="宋体" w:hAnsi="宋体" w:cs="宋体"/>
          <w:sz w:val="24"/>
        </w:rPr>
        <w:t>3、与采购人、其他供应商或者采购代理机构串通的；</w:t>
      </w:r>
    </w:p>
    <w:p w14:paraId="191E233A">
      <w:pPr>
        <w:snapToGrid w:val="0"/>
        <w:spacing w:line="500" w:lineRule="exact"/>
        <w:ind w:firstLine="480" w:firstLineChars="200"/>
        <w:rPr>
          <w:rFonts w:ascii="宋体" w:hAnsi="宋体" w:cs="宋体"/>
          <w:sz w:val="24"/>
        </w:rPr>
      </w:pPr>
      <w:r>
        <w:rPr>
          <w:rFonts w:hint="eastAsia" w:ascii="宋体" w:hAnsi="宋体" w:cs="宋体"/>
          <w:sz w:val="24"/>
        </w:rPr>
        <w:t>4、向采购人、采购代理机构行贿或者提供其他不正当利益的；</w:t>
      </w:r>
    </w:p>
    <w:p w14:paraId="343A359F">
      <w:pPr>
        <w:snapToGrid w:val="0"/>
        <w:spacing w:line="500" w:lineRule="exact"/>
        <w:ind w:firstLine="480" w:firstLineChars="200"/>
        <w:rPr>
          <w:rFonts w:ascii="宋体" w:hAnsi="宋体" w:cs="宋体"/>
          <w:sz w:val="24"/>
        </w:rPr>
      </w:pPr>
      <w:r>
        <w:rPr>
          <w:rFonts w:hint="eastAsia" w:ascii="宋体" w:hAnsi="宋体" w:cs="宋体"/>
          <w:sz w:val="24"/>
        </w:rPr>
        <w:t>5、在规定的时间内未与采购人签订采购合同的；</w:t>
      </w:r>
    </w:p>
    <w:p w14:paraId="3827EE87">
      <w:pPr>
        <w:snapToGrid w:val="0"/>
        <w:spacing w:line="500" w:lineRule="exact"/>
        <w:ind w:firstLine="480" w:firstLineChars="200"/>
        <w:rPr>
          <w:rFonts w:ascii="宋体" w:hAnsi="宋体" w:cs="宋体"/>
          <w:sz w:val="24"/>
        </w:rPr>
      </w:pPr>
      <w:r>
        <w:rPr>
          <w:rFonts w:hint="eastAsia" w:ascii="宋体" w:hAnsi="宋体" w:cs="宋体"/>
          <w:sz w:val="24"/>
        </w:rPr>
        <w:t>6、法律法规规定的其他情况。</w:t>
      </w:r>
    </w:p>
    <w:p w14:paraId="6EF67BBE">
      <w:pPr>
        <w:snapToGrid w:val="0"/>
        <w:spacing w:line="600" w:lineRule="exact"/>
        <w:ind w:firstLine="723" w:firstLineChars="200"/>
        <w:jc w:val="center"/>
        <w:outlineLvl w:val="1"/>
        <w:rPr>
          <w:rFonts w:ascii="宋体" w:hAnsi="宋体" w:cs="宋体"/>
          <w:b/>
          <w:bCs/>
          <w:sz w:val="24"/>
        </w:rPr>
      </w:pPr>
      <w:bookmarkStart w:id="40" w:name="_Toc7781"/>
      <w:bookmarkStart w:id="41" w:name="_Toc28245"/>
      <w:r>
        <w:rPr>
          <w:rFonts w:hint="eastAsia" w:ascii="宋体" w:hAnsi="宋体" w:cs="宋体"/>
          <w:b/>
          <w:bCs/>
          <w:sz w:val="36"/>
        </w:rPr>
        <w:t>六、谈判程序及最终报价</w:t>
      </w:r>
      <w:bookmarkEnd w:id="35"/>
      <w:bookmarkEnd w:id="40"/>
      <w:bookmarkEnd w:id="41"/>
    </w:p>
    <w:p w14:paraId="00F62BE7">
      <w:pPr>
        <w:spacing w:line="500" w:lineRule="exact"/>
        <w:ind w:firstLine="482" w:firstLineChars="200"/>
        <w:rPr>
          <w:rFonts w:ascii="宋体" w:hAnsi="宋体" w:cs="宋体"/>
          <w:b/>
          <w:sz w:val="24"/>
        </w:rPr>
      </w:pPr>
      <w:bookmarkStart w:id="42" w:name="_Toc16429"/>
      <w:r>
        <w:rPr>
          <w:rFonts w:hint="eastAsia" w:ascii="宋体" w:hAnsi="宋体" w:cs="宋体"/>
          <w:b/>
          <w:sz w:val="24"/>
        </w:rPr>
        <w:t>（二十三）谈判仪式</w:t>
      </w:r>
      <w:bookmarkEnd w:id="42"/>
    </w:p>
    <w:p w14:paraId="7EFEE467">
      <w:pPr>
        <w:widowControl/>
        <w:numPr>
          <w:ilvl w:val="0"/>
          <w:numId w:val="4"/>
        </w:numPr>
        <w:spacing w:line="500" w:lineRule="exact"/>
        <w:ind w:firstLine="480" w:firstLineChars="200"/>
        <w:rPr>
          <w:rFonts w:ascii="宋体" w:hAnsi="宋体" w:cs="宋体"/>
          <w:sz w:val="24"/>
        </w:rPr>
      </w:pPr>
      <w:r>
        <w:rPr>
          <w:rFonts w:hint="eastAsia" w:ascii="宋体" w:hAnsi="宋体" w:cs="宋体"/>
          <w:sz w:val="24"/>
        </w:rPr>
        <w:t>代理机构按采购文件规定的时间、地点组织谈判。采购人代表及有关工作人员参加，监管部门代表视情况参与。</w:t>
      </w:r>
    </w:p>
    <w:p w14:paraId="138D390F">
      <w:pPr>
        <w:widowControl/>
        <w:spacing w:line="500" w:lineRule="exact"/>
        <w:ind w:firstLine="480" w:firstLineChars="200"/>
        <w:rPr>
          <w:rFonts w:ascii="宋体" w:hAnsi="宋体" w:cs="宋体"/>
          <w:b/>
          <w:sz w:val="24"/>
          <w:u w:val="single"/>
        </w:rPr>
      </w:pPr>
      <w:r>
        <w:rPr>
          <w:rFonts w:hint="eastAsia" w:ascii="宋体" w:hAnsi="宋体" w:cs="宋体"/>
          <w:sz w:val="24"/>
        </w:rPr>
        <w:t>2、供应商应委派法人（或法人授权代表）参加谈判活动，</w:t>
      </w:r>
      <w:r>
        <w:rPr>
          <w:rFonts w:hint="eastAsia" w:ascii="宋体" w:hAnsi="宋体" w:cs="宋体"/>
          <w:b/>
          <w:sz w:val="24"/>
        </w:rPr>
        <w:t>参加谈判的人员须持本人身份证原件签名报到。</w:t>
      </w:r>
    </w:p>
    <w:p w14:paraId="2BD2BA36">
      <w:pPr>
        <w:spacing w:line="500" w:lineRule="exact"/>
        <w:ind w:firstLine="480" w:firstLineChars="200"/>
        <w:rPr>
          <w:rFonts w:ascii="宋体" w:hAnsi="宋体" w:cs="宋体"/>
          <w:sz w:val="24"/>
        </w:rPr>
      </w:pPr>
      <w:r>
        <w:rPr>
          <w:rFonts w:hint="eastAsia" w:ascii="宋体" w:hAnsi="宋体" w:cs="宋体"/>
          <w:sz w:val="24"/>
        </w:rPr>
        <w:t>3、谈判由代理机构主持。</w:t>
      </w:r>
    </w:p>
    <w:p w14:paraId="4E3E6137">
      <w:pPr>
        <w:spacing w:line="500" w:lineRule="exact"/>
        <w:ind w:firstLine="480" w:firstLineChars="200"/>
        <w:rPr>
          <w:rFonts w:ascii="宋体" w:hAnsi="宋体" w:cs="宋体"/>
          <w:sz w:val="24"/>
        </w:rPr>
      </w:pPr>
      <w:r>
        <w:rPr>
          <w:rFonts w:hint="eastAsia" w:ascii="宋体" w:hAnsi="宋体" w:cs="宋体"/>
          <w:sz w:val="24"/>
        </w:rPr>
        <w:t>4、谈判时，由采购人、监督部门及供应商代表检查响应文件的密封、保证金提交等。对检查未通过的，将拒绝并原封退回其响应文件。</w:t>
      </w:r>
    </w:p>
    <w:p w14:paraId="4A244C47">
      <w:pPr>
        <w:spacing w:line="500" w:lineRule="exact"/>
        <w:ind w:firstLine="482" w:firstLineChars="200"/>
        <w:rPr>
          <w:rFonts w:ascii="宋体" w:hAnsi="宋体" w:cs="宋体"/>
          <w:b/>
          <w:sz w:val="24"/>
        </w:rPr>
      </w:pPr>
      <w:bookmarkStart w:id="43" w:name="_Toc10427"/>
      <w:r>
        <w:rPr>
          <w:rFonts w:hint="eastAsia" w:ascii="宋体" w:hAnsi="宋体" w:cs="宋体"/>
          <w:b/>
          <w:sz w:val="24"/>
        </w:rPr>
        <w:t>（二十四）谈判小组</w:t>
      </w:r>
      <w:bookmarkEnd w:id="43"/>
    </w:p>
    <w:p w14:paraId="6D8F1CB4">
      <w:pPr>
        <w:spacing w:line="500" w:lineRule="exact"/>
        <w:ind w:firstLine="480" w:firstLineChars="200"/>
        <w:rPr>
          <w:rFonts w:ascii="宋体" w:hAnsi="宋体" w:cs="宋体"/>
          <w:sz w:val="24"/>
        </w:rPr>
      </w:pPr>
      <w:r>
        <w:rPr>
          <w:rFonts w:hint="eastAsia" w:ascii="宋体" w:hAnsi="宋体" w:cs="宋体"/>
          <w:color w:val="000000"/>
          <w:sz w:val="24"/>
        </w:rPr>
        <w:t>采购人应根据本项目的特点组建谈判小组。</w:t>
      </w:r>
    </w:p>
    <w:p w14:paraId="264D0839">
      <w:pPr>
        <w:spacing w:line="500" w:lineRule="exact"/>
        <w:ind w:firstLine="482" w:firstLineChars="200"/>
        <w:rPr>
          <w:rFonts w:ascii="宋体" w:hAnsi="宋体" w:cs="宋体"/>
          <w:b/>
          <w:sz w:val="24"/>
        </w:rPr>
      </w:pPr>
      <w:bookmarkStart w:id="44" w:name="_Toc4097"/>
      <w:r>
        <w:rPr>
          <w:rFonts w:hint="eastAsia" w:ascii="宋体" w:hAnsi="宋体" w:cs="宋体"/>
          <w:b/>
          <w:sz w:val="24"/>
        </w:rPr>
        <w:t>（二十五）谈判原则</w:t>
      </w:r>
      <w:bookmarkEnd w:id="44"/>
    </w:p>
    <w:p w14:paraId="74413CA9">
      <w:pPr>
        <w:spacing w:line="500" w:lineRule="exact"/>
        <w:ind w:firstLine="480" w:firstLineChars="200"/>
        <w:rPr>
          <w:rFonts w:ascii="宋体" w:hAnsi="宋体" w:cs="宋体"/>
          <w:sz w:val="24"/>
        </w:rPr>
      </w:pPr>
      <w:r>
        <w:rPr>
          <w:rFonts w:hint="eastAsia" w:ascii="宋体" w:hAnsi="宋体" w:cs="宋体"/>
          <w:sz w:val="24"/>
        </w:rPr>
        <w:t xml:space="preserve"> “公平、公正、客观、择优”为谈判的基本原则，谈判小组将根据这一原则，公正、平等地对待各供应商。</w:t>
      </w:r>
    </w:p>
    <w:p w14:paraId="05C103F4">
      <w:pPr>
        <w:spacing w:line="500" w:lineRule="exact"/>
        <w:ind w:firstLine="482" w:firstLineChars="200"/>
        <w:rPr>
          <w:rFonts w:ascii="宋体" w:hAnsi="宋体" w:cs="宋体"/>
          <w:b/>
          <w:sz w:val="24"/>
        </w:rPr>
      </w:pPr>
      <w:bookmarkStart w:id="45" w:name="_Toc1486"/>
      <w:r>
        <w:rPr>
          <w:rFonts w:hint="eastAsia" w:ascii="宋体" w:hAnsi="宋体" w:cs="宋体"/>
          <w:b/>
          <w:sz w:val="24"/>
        </w:rPr>
        <w:t>（二十六）谈判程序</w:t>
      </w:r>
      <w:bookmarkEnd w:id="45"/>
    </w:p>
    <w:p w14:paraId="58C15220">
      <w:pPr>
        <w:spacing w:line="500" w:lineRule="exact"/>
        <w:ind w:firstLine="480" w:firstLineChars="200"/>
        <w:rPr>
          <w:rFonts w:ascii="宋体" w:hAnsi="宋体" w:cs="宋体"/>
          <w:b/>
          <w:sz w:val="24"/>
        </w:rPr>
      </w:pPr>
      <w:r>
        <w:rPr>
          <w:rFonts w:hint="eastAsia" w:ascii="宋体" w:hAnsi="宋体" w:cs="宋体"/>
          <w:sz w:val="24"/>
        </w:rPr>
        <w:t>1、谈判小组首先对各响应文件进行资格性审查和符合性审查，未通过审查的为无效标。</w:t>
      </w:r>
    </w:p>
    <w:p w14:paraId="0B786F18">
      <w:pPr>
        <w:spacing w:line="500" w:lineRule="exact"/>
        <w:ind w:firstLine="480" w:firstLineChars="200"/>
        <w:rPr>
          <w:rFonts w:ascii="宋体" w:hAnsi="宋体" w:cs="宋体"/>
          <w:sz w:val="24"/>
        </w:rPr>
      </w:pPr>
      <w:r>
        <w:rPr>
          <w:rFonts w:hint="eastAsia" w:ascii="宋体" w:hAnsi="宋体" w:cs="宋体"/>
          <w:sz w:val="24"/>
        </w:rPr>
        <w:t>（1）资格性检查：谈判小组将根据法律法规和采购文件的规定，对响应文件的资格证明文件、保证金等进行审查，以确定供应商是否具备竞争性谈判资格。</w:t>
      </w:r>
    </w:p>
    <w:p w14:paraId="264A9A8D">
      <w:pPr>
        <w:spacing w:line="500" w:lineRule="exact"/>
        <w:ind w:firstLine="480" w:firstLineChars="200"/>
        <w:rPr>
          <w:rFonts w:ascii="宋体" w:hAnsi="宋体" w:cs="宋体"/>
          <w:sz w:val="24"/>
        </w:rPr>
      </w:pPr>
      <w:r>
        <w:rPr>
          <w:rFonts w:hint="eastAsia" w:ascii="宋体" w:hAnsi="宋体" w:cs="宋体"/>
          <w:sz w:val="24"/>
        </w:rPr>
        <w:t>（2）符合性检查：依据采购文件的规定，从响应文件的有效性、完整性和对采购文件的响应程度进行审查，以确定是否对采购文件的要求作出了实质性的响应，存在重大偏离的响应文件为无效标。所谓重大偏离是指供应商响应文件中所述工程质量、数量、工期等和服务明显不能满足采购文件要求。重大偏离的认定须经谈判小组三分之二以上组员同意。未实质性响应谈判文件的响应文件按无效处理，谈判小组应当告知有关供应商。</w:t>
      </w:r>
    </w:p>
    <w:p w14:paraId="1717DADB">
      <w:pPr>
        <w:pStyle w:val="28"/>
        <w:spacing w:line="500" w:lineRule="exact"/>
        <w:ind w:firstLine="480" w:firstLineChars="200"/>
        <w:rPr>
          <w:rFonts w:hAnsi="宋体" w:cs="宋体"/>
          <w:sz w:val="24"/>
        </w:rPr>
      </w:pPr>
      <w:r>
        <w:rPr>
          <w:rFonts w:hint="eastAsia" w:hAnsi="宋体" w:cs="宋体"/>
          <w:sz w:val="24"/>
        </w:rPr>
        <w:t>（3）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933CFEA">
      <w:pPr>
        <w:pStyle w:val="28"/>
        <w:spacing w:line="500" w:lineRule="exact"/>
        <w:ind w:firstLine="480" w:firstLineChars="200"/>
        <w:rPr>
          <w:rFonts w:hAnsi="宋体" w:cs="宋体"/>
          <w:sz w:val="24"/>
        </w:rPr>
      </w:pPr>
      <w:r>
        <w:rPr>
          <w:rFonts w:hint="eastAsia" w:hAnsi="宋体" w:cs="宋体"/>
          <w:sz w:val="24"/>
        </w:rPr>
        <w:t>（4）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3BBFB02">
      <w:pPr>
        <w:pStyle w:val="44"/>
        <w:widowControl/>
        <w:spacing w:beforeAutospacing="0" w:afterAutospacing="0" w:line="450" w:lineRule="atLeast"/>
        <w:ind w:firstLine="480"/>
        <w:rPr>
          <w:rFonts w:ascii="宋体" w:hAnsi="宋体" w:cs="宋体"/>
          <w:kern w:val="2"/>
        </w:rPr>
      </w:pPr>
      <w:r>
        <w:rPr>
          <w:rFonts w:hint="eastAsia" w:ascii="宋体" w:hAnsi="宋体" w:cs="宋体"/>
          <w:kern w:val="2"/>
        </w:rPr>
        <w:t>2、谈判小组根据谈判文件规定的程序、评定成交的标准等事项与实质性响应谈判文件要求的供应商进行谈判。</w:t>
      </w:r>
    </w:p>
    <w:p w14:paraId="7D993BA3">
      <w:pPr>
        <w:pStyle w:val="44"/>
        <w:widowControl/>
        <w:spacing w:beforeAutospacing="0" w:afterAutospacing="0" w:line="450" w:lineRule="atLeast"/>
        <w:ind w:firstLine="480"/>
        <w:rPr>
          <w:rFonts w:ascii="宋体" w:hAnsi="宋体" w:cs="宋体"/>
          <w:kern w:val="2"/>
        </w:rPr>
      </w:pPr>
      <w:r>
        <w:rPr>
          <w:rFonts w:hint="eastAsia" w:ascii="宋体" w:hAnsi="宋体" w:cs="宋体"/>
          <w:kern w:val="2"/>
        </w:rPr>
        <w:t>3、谈判小组所有成员应当集中与单一供应商分别进行谈判，并给予所有参加谈判的供应商平等的谈判机会。</w:t>
      </w:r>
    </w:p>
    <w:p w14:paraId="7A91DA17">
      <w:pPr>
        <w:pStyle w:val="44"/>
        <w:widowControl/>
        <w:spacing w:beforeAutospacing="0" w:afterAutospacing="0" w:line="450" w:lineRule="atLeast"/>
        <w:rPr>
          <w:rFonts w:ascii="宋体" w:hAnsi="宋体" w:cs="宋体"/>
          <w:kern w:val="2"/>
        </w:rPr>
      </w:pPr>
      <w:r>
        <w:rPr>
          <w:rFonts w:hint="eastAsia" w:ascii="宋体" w:hAnsi="宋体" w:cs="宋体"/>
          <w:kern w:val="2"/>
        </w:rPr>
        <w:t xml:space="preserve">    4、在谈判过程中，谈判小组可以根据谈判文件和谈判情况实质性变动采购需求中的技术、服务要求以及合同草案条款，但不得变动谈判文件中的其他内容。实质性变动的内容，须经采购人代表确认。</w:t>
      </w:r>
    </w:p>
    <w:p w14:paraId="4868AA8D">
      <w:pPr>
        <w:pStyle w:val="44"/>
        <w:widowControl/>
        <w:spacing w:beforeAutospacing="0" w:afterAutospacing="0" w:line="450" w:lineRule="atLeast"/>
        <w:rPr>
          <w:rFonts w:ascii="宋体" w:hAnsi="宋体" w:cs="宋体"/>
          <w:kern w:val="2"/>
        </w:rPr>
      </w:pPr>
      <w:r>
        <w:rPr>
          <w:rFonts w:hint="eastAsia" w:ascii="宋体" w:hAnsi="宋体" w:cs="宋体"/>
          <w:kern w:val="2"/>
        </w:rPr>
        <w:t>　　（1）对谈判文件作出的实质性变动是谈判文件的有效组成部分，谈判小组应当及时以书面形式同时通知所有参加谈判的供应商。</w:t>
      </w:r>
    </w:p>
    <w:p w14:paraId="7263C959">
      <w:pPr>
        <w:pStyle w:val="44"/>
        <w:widowControl/>
        <w:spacing w:beforeAutospacing="0" w:afterAutospacing="0" w:line="450" w:lineRule="atLeast"/>
        <w:rPr>
          <w:rFonts w:ascii="宋体" w:hAnsi="宋体" w:cs="宋体"/>
          <w:kern w:val="2"/>
        </w:rPr>
      </w:pPr>
      <w:r>
        <w:rPr>
          <w:rFonts w:hint="eastAsia" w:ascii="宋体" w:hAnsi="宋体" w:cs="宋体"/>
          <w:kern w:val="2"/>
        </w:rPr>
        <w:t>　　（2）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79304B46">
      <w:pPr>
        <w:pStyle w:val="44"/>
        <w:widowControl/>
        <w:spacing w:beforeAutospacing="0" w:afterAutospacing="0" w:line="450" w:lineRule="atLeast"/>
        <w:rPr>
          <w:rFonts w:ascii="宋体" w:hAnsi="宋体" w:cs="宋体"/>
          <w:kern w:val="2"/>
        </w:rPr>
      </w:pPr>
      <w:r>
        <w:rPr>
          <w:rFonts w:hint="eastAsia" w:ascii="宋体" w:hAnsi="宋体" w:cs="宋体"/>
          <w:kern w:val="2"/>
        </w:rPr>
        <w:t xml:space="preserve">    5、谈判文件能够详细列明采购标的的技术、服务要求的，谈判结束后，谈判小组应当要求所有继续参加谈判的供应商在规定时间内提交最后报价，提交最后报价的供应商不得少于3家。</w:t>
      </w:r>
    </w:p>
    <w:p w14:paraId="4CC4A4A8">
      <w:pPr>
        <w:pStyle w:val="44"/>
        <w:widowControl/>
        <w:spacing w:beforeAutospacing="0" w:afterAutospacing="0" w:line="450" w:lineRule="atLeast"/>
        <w:rPr>
          <w:rFonts w:ascii="宋体" w:hAnsi="宋体" w:cs="宋体"/>
          <w:kern w:val="2"/>
        </w:rPr>
      </w:pPr>
      <w:r>
        <w:rPr>
          <w:rFonts w:hint="eastAsia" w:ascii="宋体" w:hAnsi="宋体" w:cs="宋体"/>
          <w:kern w:val="2"/>
        </w:rPr>
        <w:t>　　（1）谈判文件不能详细列明采购标的的技术、服务要求，需经谈判由供应商提供最终设计方案或解决方案的，谈判结束后，谈判小组应当按照少数服从多数的原则投票推荐3家以上供应商的施工设计方案或者解决方案，并要求其在规定时间内提交最后报价。</w:t>
      </w:r>
    </w:p>
    <w:p w14:paraId="2EED8DFC">
      <w:pPr>
        <w:pStyle w:val="44"/>
        <w:widowControl/>
        <w:spacing w:beforeAutospacing="0" w:afterAutospacing="0" w:line="450" w:lineRule="atLeast"/>
        <w:rPr>
          <w:rFonts w:ascii="宋体" w:hAnsi="宋体" w:cs="宋体"/>
          <w:kern w:val="2"/>
        </w:rPr>
      </w:pPr>
      <w:r>
        <w:rPr>
          <w:rFonts w:hint="eastAsia" w:ascii="宋体" w:hAnsi="宋体" w:cs="宋体"/>
          <w:kern w:val="2"/>
        </w:rPr>
        <w:t>　　（2）最后报价是供应商响应文件的有效组成部分。</w:t>
      </w:r>
    </w:p>
    <w:p w14:paraId="6A6CC4ED">
      <w:pPr>
        <w:pStyle w:val="44"/>
        <w:widowControl/>
        <w:spacing w:beforeAutospacing="0" w:afterAutospacing="0" w:line="450" w:lineRule="atLeast"/>
        <w:rPr>
          <w:rFonts w:ascii="宋体" w:hAnsi="宋体" w:cs="宋体"/>
          <w:kern w:val="2"/>
        </w:rPr>
      </w:pPr>
      <w:r>
        <w:rPr>
          <w:rFonts w:hint="eastAsia" w:ascii="宋体" w:hAnsi="宋体" w:cs="宋体"/>
          <w:kern w:val="2"/>
        </w:rPr>
        <w:t xml:space="preserve">    6、已提交响应文件的供应商，在提交最后报价之前，可以根据谈判情况退出谈判。采购人、采购代理机构应当退还退出谈判的供应商的保证金。</w:t>
      </w:r>
    </w:p>
    <w:p w14:paraId="69CBA3C4">
      <w:pPr>
        <w:pStyle w:val="44"/>
        <w:widowControl/>
        <w:spacing w:beforeAutospacing="0" w:afterAutospacing="0" w:line="450" w:lineRule="atLeast"/>
        <w:ind w:firstLine="480"/>
        <w:rPr>
          <w:rFonts w:ascii="宋体" w:hAnsi="宋体" w:cs="宋体"/>
          <w:kern w:val="2"/>
        </w:rPr>
      </w:pPr>
      <w:r>
        <w:rPr>
          <w:rFonts w:hint="eastAsia" w:ascii="宋体" w:hAnsi="宋体" w:cs="宋体"/>
          <w:kern w:val="2"/>
        </w:rPr>
        <w:t>7、谈判小组应当从质量和服务均能满足采购文件实质性响应要求的供应商中，按照最后报价由低到高的顺序提出3名以上成交候选人，并编写评审报告。</w:t>
      </w:r>
    </w:p>
    <w:p w14:paraId="44569714">
      <w:pPr>
        <w:pStyle w:val="28"/>
        <w:spacing w:line="500" w:lineRule="exact"/>
        <w:ind w:firstLine="482" w:firstLineChars="200"/>
        <w:rPr>
          <w:rFonts w:hAnsi="宋体" w:cs="宋体"/>
          <w:color w:val="0000FF"/>
          <w:sz w:val="24"/>
        </w:rPr>
      </w:pPr>
      <w:r>
        <w:rPr>
          <w:rFonts w:hint="eastAsia" w:hAnsi="宋体" w:cs="宋体"/>
          <w:b/>
          <w:color w:val="0000FF"/>
          <w:sz w:val="24"/>
        </w:rPr>
        <w:t>8、供应商未及时参与谈判或多次报价的，视为自动放弃响应资格。</w:t>
      </w:r>
    </w:p>
    <w:p w14:paraId="48EEC44A">
      <w:pPr>
        <w:pStyle w:val="28"/>
        <w:spacing w:line="500" w:lineRule="exact"/>
        <w:ind w:firstLine="482" w:firstLineChars="200"/>
        <w:rPr>
          <w:rFonts w:hAnsi="宋体" w:cs="宋体"/>
          <w:sz w:val="24"/>
        </w:rPr>
      </w:pPr>
      <w:bookmarkStart w:id="46" w:name="_Toc13887"/>
      <w:r>
        <w:rPr>
          <w:rFonts w:hint="eastAsia" w:hAnsi="宋体" w:cs="宋体"/>
          <w:b/>
          <w:sz w:val="24"/>
        </w:rPr>
        <w:t>（二十七）最终报价要求</w:t>
      </w:r>
      <w:bookmarkEnd w:id="46"/>
    </w:p>
    <w:p w14:paraId="0AED258D">
      <w:pPr>
        <w:pStyle w:val="28"/>
        <w:spacing w:line="500" w:lineRule="exact"/>
        <w:ind w:firstLine="480" w:firstLineChars="200"/>
        <w:rPr>
          <w:rFonts w:hAnsi="宋体" w:cs="宋体"/>
          <w:bCs/>
          <w:sz w:val="24"/>
        </w:rPr>
      </w:pPr>
      <w:r>
        <w:rPr>
          <w:rFonts w:hint="eastAsia" w:hAnsi="宋体" w:cs="宋体"/>
          <w:bCs/>
          <w:sz w:val="24"/>
        </w:rPr>
        <w:t>1、参与二次及多次报价及服务承诺的人员须是供应商的法定代表人或其授权代表（核对身份证）。</w:t>
      </w:r>
    </w:p>
    <w:p w14:paraId="46C63D75">
      <w:pPr>
        <w:pStyle w:val="18"/>
        <w:spacing w:line="440" w:lineRule="exact"/>
        <w:ind w:firstLine="482" w:firstLineChars="200"/>
        <w:rPr>
          <w:rFonts w:ascii="宋体" w:hAnsi="宋体" w:eastAsia="宋体" w:cs="宋体"/>
          <w:b/>
          <w:bCs/>
          <w:color w:val="0000FF"/>
          <w:sz w:val="24"/>
        </w:rPr>
      </w:pPr>
      <w:r>
        <w:rPr>
          <w:rFonts w:hint="eastAsia" w:ascii="宋体" w:hAnsi="宋体" w:eastAsia="宋体" w:cs="宋体"/>
          <w:b/>
          <w:bCs/>
          <w:color w:val="0000FF"/>
          <w:sz w:val="24"/>
        </w:rPr>
        <w:t>2、在采购内容和采购需求不变的情况下，供应商次轮报价及最终报价均不得高于第一次报价及上一轮报价，否则，按无效标处理。</w:t>
      </w:r>
    </w:p>
    <w:p w14:paraId="3E3083ED">
      <w:pPr>
        <w:pStyle w:val="28"/>
        <w:spacing w:line="500" w:lineRule="exact"/>
        <w:ind w:firstLine="482" w:firstLineChars="200"/>
        <w:rPr>
          <w:rFonts w:hAnsi="宋体" w:cs="宋体"/>
          <w:b/>
          <w:sz w:val="24"/>
        </w:rPr>
      </w:pPr>
      <w:bookmarkStart w:id="47" w:name="_Toc29011"/>
      <w:r>
        <w:rPr>
          <w:rFonts w:hint="eastAsia" w:hAnsi="宋体" w:cs="宋体"/>
          <w:b/>
          <w:sz w:val="24"/>
        </w:rPr>
        <w:t>（二十八）比较与评价</w:t>
      </w:r>
      <w:bookmarkEnd w:id="47"/>
    </w:p>
    <w:p w14:paraId="6641ED71">
      <w:pPr>
        <w:spacing w:line="500" w:lineRule="exact"/>
        <w:ind w:firstLine="480" w:firstLineChars="200"/>
        <w:rPr>
          <w:rFonts w:ascii="宋体" w:hAnsi="宋体" w:cs="宋体"/>
          <w:sz w:val="24"/>
        </w:rPr>
      </w:pPr>
      <w:r>
        <w:rPr>
          <w:rFonts w:hint="eastAsia" w:ascii="宋体" w:hAnsi="宋体" w:cs="宋体"/>
          <w:sz w:val="24"/>
        </w:rPr>
        <w:t>1、谈判小组按采购文件中规定的评审方法和标准，对资格性检查和符合性检查合格的响应文件进行商务和技术评比</w:t>
      </w:r>
      <w:bookmarkStart w:id="48" w:name="_Toc213839741"/>
      <w:r>
        <w:rPr>
          <w:rFonts w:hint="eastAsia" w:ascii="宋体" w:hAnsi="宋体" w:cs="宋体"/>
          <w:sz w:val="24"/>
        </w:rPr>
        <w:t>。</w:t>
      </w:r>
    </w:p>
    <w:p w14:paraId="0A3EF9CC">
      <w:pPr>
        <w:spacing w:line="500" w:lineRule="exact"/>
        <w:ind w:firstLine="480" w:firstLineChars="200"/>
        <w:rPr>
          <w:rFonts w:ascii="宋体" w:hAnsi="宋体" w:cs="宋体"/>
          <w:sz w:val="24"/>
        </w:rPr>
      </w:pPr>
      <w:r>
        <w:rPr>
          <w:rFonts w:hint="eastAsia" w:ascii="宋体" w:hAnsi="宋体" w:cs="宋体"/>
          <w:sz w:val="24"/>
        </w:rPr>
        <w:t>2、推荐成交候选人名单。在符合采购需求、质量和服务相等的前提下，按有效报价由低到高顺序排列，以报价最低的供应商为第一成交候选人。</w:t>
      </w:r>
    </w:p>
    <w:p w14:paraId="2D01B03F">
      <w:pPr>
        <w:spacing w:line="500" w:lineRule="exact"/>
        <w:ind w:firstLine="482" w:firstLineChars="200"/>
        <w:rPr>
          <w:rFonts w:ascii="宋体" w:hAnsi="宋体" w:cs="宋体"/>
          <w:sz w:val="24"/>
        </w:rPr>
      </w:pPr>
      <w:bookmarkStart w:id="49" w:name="_Toc5388"/>
      <w:r>
        <w:rPr>
          <w:rFonts w:hint="eastAsia" w:ascii="宋体" w:hAnsi="宋体" w:cs="宋体"/>
          <w:b/>
          <w:sz w:val="24"/>
        </w:rPr>
        <w:t>（二十九）谈判过程</w:t>
      </w:r>
      <w:bookmarkEnd w:id="48"/>
      <w:r>
        <w:rPr>
          <w:rFonts w:hint="eastAsia" w:ascii="宋体" w:hAnsi="宋体" w:cs="宋体"/>
          <w:b/>
          <w:sz w:val="24"/>
        </w:rPr>
        <w:t>保密</w:t>
      </w:r>
      <w:bookmarkEnd w:id="49"/>
    </w:p>
    <w:p w14:paraId="34D33003">
      <w:pPr>
        <w:spacing w:line="500" w:lineRule="exact"/>
        <w:ind w:firstLine="480" w:firstLineChars="200"/>
        <w:rPr>
          <w:rFonts w:ascii="宋体" w:hAnsi="宋体" w:cs="宋体"/>
          <w:sz w:val="24"/>
        </w:rPr>
      </w:pPr>
      <w:r>
        <w:rPr>
          <w:rFonts w:hint="eastAsia" w:ascii="宋体" w:hAnsi="宋体" w:cs="宋体"/>
          <w:sz w:val="24"/>
        </w:rPr>
        <w:t>1、在宣布成交结果之前，凡属于审查、澄清、评价、比较采购文件等有关信息，相关当事人均不得泄露给任何谈判供应商或与谈判工作无关的人员。</w:t>
      </w:r>
    </w:p>
    <w:p w14:paraId="24E5B5BD">
      <w:pPr>
        <w:spacing w:line="500" w:lineRule="exact"/>
        <w:ind w:firstLine="480" w:firstLineChars="200"/>
        <w:rPr>
          <w:rFonts w:ascii="宋体" w:hAnsi="宋体" w:cs="宋体"/>
          <w:sz w:val="24"/>
        </w:rPr>
      </w:pPr>
      <w:r>
        <w:rPr>
          <w:rFonts w:hint="eastAsia" w:ascii="宋体" w:hAnsi="宋体" w:cs="宋体"/>
          <w:sz w:val="24"/>
        </w:rPr>
        <w:t>2、供应商不得探听上述信息，不得以任何行为影响谈判过程，否则其响应文件将被作为无效响应文件。</w:t>
      </w:r>
    </w:p>
    <w:p w14:paraId="1B79D48D">
      <w:pPr>
        <w:spacing w:line="500" w:lineRule="exact"/>
        <w:ind w:firstLine="480" w:firstLineChars="200"/>
        <w:rPr>
          <w:rFonts w:ascii="宋体" w:hAnsi="宋体" w:cs="宋体"/>
          <w:sz w:val="24"/>
        </w:rPr>
      </w:pPr>
      <w:r>
        <w:rPr>
          <w:rFonts w:hint="eastAsia" w:ascii="宋体" w:hAnsi="宋体" w:cs="宋体"/>
          <w:sz w:val="24"/>
        </w:rPr>
        <w:t>3、在谈判期间，代理机构有专门工作人员与供应商进行联络。</w:t>
      </w:r>
    </w:p>
    <w:p w14:paraId="2BDBE43D">
      <w:pPr>
        <w:spacing w:line="500" w:lineRule="exact"/>
        <w:ind w:firstLine="480" w:firstLineChars="200"/>
        <w:rPr>
          <w:rFonts w:ascii="宋体" w:hAnsi="宋体" w:cs="宋体"/>
          <w:sz w:val="24"/>
        </w:rPr>
      </w:pPr>
      <w:r>
        <w:rPr>
          <w:rFonts w:hint="eastAsia" w:ascii="宋体" w:hAnsi="宋体" w:cs="宋体"/>
          <w:sz w:val="24"/>
        </w:rPr>
        <w:t>4代理机构和谈判小组不向未成交的响应供应商解释未成交原因，也不对谈判过程中的细节问题进行公布。</w:t>
      </w:r>
    </w:p>
    <w:p w14:paraId="2DCFC8C9">
      <w:pPr>
        <w:spacing w:line="500" w:lineRule="exact"/>
        <w:ind w:firstLine="482" w:firstLineChars="200"/>
        <w:rPr>
          <w:rFonts w:ascii="宋体" w:hAnsi="宋体" w:cs="宋体"/>
          <w:b/>
          <w:bCs/>
          <w:sz w:val="24"/>
        </w:rPr>
      </w:pPr>
      <w:r>
        <w:rPr>
          <w:rFonts w:hint="eastAsia" w:ascii="宋体" w:hAnsi="宋体" w:cs="宋体"/>
          <w:b/>
          <w:bCs/>
          <w:sz w:val="24"/>
        </w:rPr>
        <w:t>（三十）重新评审的情况</w:t>
      </w:r>
    </w:p>
    <w:p w14:paraId="17568B95">
      <w:pPr>
        <w:spacing w:line="500" w:lineRule="exact"/>
        <w:ind w:firstLine="480" w:firstLineChars="200"/>
        <w:rPr>
          <w:rFonts w:ascii="宋体" w:hAnsi="宋体" w:cs="宋体"/>
          <w:sz w:val="24"/>
          <w:highlight w:val="green"/>
        </w:rPr>
      </w:pPr>
      <w:r>
        <w:rPr>
          <w:rFonts w:hint="eastAsia" w:ascii="宋体" w:hAnsi="宋体" w:cs="宋体"/>
          <w:sz w:val="24"/>
        </w:rPr>
        <w:t>除资格性审查认定错误和价格计算错误外，采购人或者采购代理机构不得以任何理由组织重新评审。采购人、采购代理机构发现谈判小组未按照采购文件规定的评定成交的标准进行评审的，应当重新开展采购活动。</w:t>
      </w:r>
    </w:p>
    <w:p w14:paraId="6E358E52">
      <w:pPr>
        <w:snapToGrid w:val="0"/>
        <w:spacing w:line="500" w:lineRule="exact"/>
        <w:ind w:firstLine="480" w:firstLineChars="200"/>
        <w:rPr>
          <w:rFonts w:ascii="宋体" w:hAnsi="宋体" w:cs="宋体"/>
          <w:sz w:val="24"/>
          <w:highlight w:val="green"/>
        </w:rPr>
      </w:pPr>
    </w:p>
    <w:p w14:paraId="17A1CCAA">
      <w:pPr>
        <w:spacing w:line="500" w:lineRule="exact"/>
        <w:jc w:val="center"/>
        <w:outlineLvl w:val="1"/>
        <w:rPr>
          <w:rFonts w:ascii="宋体" w:hAnsi="宋体" w:cs="宋体"/>
          <w:b/>
          <w:bCs/>
          <w:sz w:val="36"/>
        </w:rPr>
      </w:pPr>
      <w:bookmarkStart w:id="50" w:name="_Toc8948"/>
      <w:bookmarkStart w:id="51" w:name="_Toc15472"/>
      <w:r>
        <w:rPr>
          <w:rFonts w:hint="eastAsia" w:ascii="宋体" w:hAnsi="宋体" w:cs="宋体"/>
          <w:b/>
          <w:bCs/>
          <w:sz w:val="36"/>
        </w:rPr>
        <w:t>七、成交及合同签订</w:t>
      </w:r>
      <w:bookmarkEnd w:id="50"/>
      <w:bookmarkEnd w:id="51"/>
    </w:p>
    <w:p w14:paraId="35354663">
      <w:pPr>
        <w:spacing w:line="500" w:lineRule="exact"/>
        <w:ind w:firstLine="236" w:firstLineChars="98"/>
        <w:jc w:val="left"/>
        <w:rPr>
          <w:rFonts w:ascii="宋体" w:hAnsi="宋体" w:cs="宋体"/>
          <w:sz w:val="24"/>
        </w:rPr>
      </w:pPr>
      <w:bookmarkStart w:id="52" w:name="_Toc6727"/>
      <w:r>
        <w:rPr>
          <w:rFonts w:hint="eastAsia" w:ascii="宋体" w:hAnsi="宋体" w:cs="宋体"/>
          <w:b/>
          <w:sz w:val="24"/>
        </w:rPr>
        <w:t>（三十一）</w:t>
      </w:r>
      <w:bookmarkEnd w:id="52"/>
      <w:r>
        <w:rPr>
          <w:rFonts w:hint="eastAsia" w:ascii="宋体" w:hAnsi="宋体" w:cs="宋体"/>
          <w:b/>
          <w:sz w:val="24"/>
        </w:rPr>
        <w:t>成交供应商</w:t>
      </w:r>
    </w:p>
    <w:p w14:paraId="57DA1962">
      <w:pPr>
        <w:spacing w:line="520" w:lineRule="exact"/>
        <w:ind w:right="105" w:rightChars="50" w:firstLine="480" w:firstLineChars="200"/>
        <w:jc w:val="left"/>
        <w:rPr>
          <w:rFonts w:ascii="宋体" w:hAnsi="宋体" w:cs="宋体"/>
          <w:sz w:val="24"/>
        </w:rPr>
      </w:pPr>
      <w:r>
        <w:rPr>
          <w:rFonts w:hint="eastAsia" w:ascii="宋体" w:hAnsi="宋体" w:cs="宋体"/>
          <w:sz w:val="24"/>
        </w:rPr>
        <w:t>在符合采购需求、质量和服务相等的前提下，以提出有效最低诚信报价的供应商为第一成交候选人。</w:t>
      </w:r>
    </w:p>
    <w:p w14:paraId="650CA123">
      <w:pPr>
        <w:spacing w:line="500" w:lineRule="exact"/>
        <w:ind w:firstLine="236" w:firstLineChars="98"/>
        <w:jc w:val="left"/>
        <w:rPr>
          <w:rFonts w:ascii="宋体" w:hAnsi="宋体" w:cs="宋体"/>
          <w:b/>
          <w:sz w:val="24"/>
        </w:rPr>
      </w:pPr>
      <w:bookmarkStart w:id="53" w:name="_Toc8618"/>
      <w:r>
        <w:rPr>
          <w:rFonts w:hint="eastAsia" w:ascii="宋体" w:hAnsi="宋体" w:cs="宋体"/>
          <w:b/>
          <w:sz w:val="24"/>
        </w:rPr>
        <w:t>（三十二）资格后审</w:t>
      </w:r>
      <w:bookmarkEnd w:id="53"/>
    </w:p>
    <w:p w14:paraId="308EA211">
      <w:pPr>
        <w:spacing w:line="500" w:lineRule="exact"/>
        <w:ind w:firstLine="480" w:firstLineChars="200"/>
        <w:jc w:val="left"/>
        <w:rPr>
          <w:rFonts w:ascii="宋体" w:hAnsi="宋体" w:cs="宋体"/>
          <w:sz w:val="24"/>
        </w:rPr>
      </w:pPr>
      <w:r>
        <w:rPr>
          <w:rFonts w:hint="eastAsia" w:ascii="宋体" w:hAnsi="宋体" w:cs="宋体"/>
          <w:sz w:val="24"/>
        </w:rPr>
        <w:t>1、采购人将在签订合同前对成交候选人是否能圆满地履行合同进行审查。审查包括成交候选人响应文件中提供的所有资格证明材料原件，成交候选人响应文件及补充承诺中涉及的其他相关资料原件，以及对本项目实施可能存在风险的其他因素。</w:t>
      </w:r>
    </w:p>
    <w:p w14:paraId="6AEC44A8">
      <w:pPr>
        <w:spacing w:line="500" w:lineRule="exact"/>
        <w:ind w:firstLine="480" w:firstLineChars="200"/>
        <w:jc w:val="left"/>
        <w:rPr>
          <w:rFonts w:ascii="宋体" w:hAnsi="宋体" w:cs="宋体"/>
          <w:sz w:val="24"/>
        </w:rPr>
      </w:pPr>
      <w:r>
        <w:rPr>
          <w:rFonts w:hint="eastAsia" w:ascii="宋体" w:hAnsi="宋体" w:cs="宋体"/>
          <w:sz w:val="24"/>
        </w:rPr>
        <w:t>2、采购人若发现成交供应商在谈判过程中提供虚假证明文件，故意隐瞒公司不良信誉和财务状况，以及存在可能对合同圆满履行造成风险的其他因素等，则按规定取消其成交资格，并予以处罚。</w:t>
      </w:r>
    </w:p>
    <w:p w14:paraId="0512E31C">
      <w:pPr>
        <w:spacing w:line="500" w:lineRule="exact"/>
        <w:ind w:firstLine="480" w:firstLineChars="200"/>
        <w:jc w:val="left"/>
        <w:rPr>
          <w:rFonts w:ascii="宋体" w:hAnsi="宋体" w:cs="宋体"/>
          <w:sz w:val="24"/>
        </w:rPr>
      </w:pPr>
      <w:r>
        <w:rPr>
          <w:rFonts w:hint="eastAsia" w:ascii="宋体" w:hAnsi="宋体" w:cs="宋体"/>
          <w:sz w:val="24"/>
        </w:rPr>
        <w:t>3、如果供应商被确认为不具备执行合同的能力，采购人将考虑按同样的程序审查下一个成交候选人。</w:t>
      </w:r>
    </w:p>
    <w:p w14:paraId="409F693C">
      <w:pPr>
        <w:spacing w:line="500" w:lineRule="exact"/>
        <w:ind w:firstLine="482" w:firstLineChars="200"/>
        <w:jc w:val="left"/>
        <w:rPr>
          <w:rFonts w:ascii="宋体" w:hAnsi="宋体" w:cs="宋体"/>
          <w:sz w:val="24"/>
        </w:rPr>
      </w:pPr>
      <w:bookmarkStart w:id="54" w:name="_Toc4600"/>
      <w:r>
        <w:rPr>
          <w:rFonts w:hint="eastAsia" w:ascii="宋体" w:hAnsi="宋体" w:cs="宋体"/>
          <w:b/>
          <w:sz w:val="24"/>
        </w:rPr>
        <w:t>（三十三）成交通知书</w:t>
      </w:r>
      <w:bookmarkEnd w:id="54"/>
    </w:p>
    <w:p w14:paraId="3E950840">
      <w:pPr>
        <w:spacing w:line="500" w:lineRule="exact"/>
        <w:ind w:firstLine="480" w:firstLineChars="200"/>
        <w:jc w:val="left"/>
        <w:rPr>
          <w:rFonts w:ascii="宋体" w:hAnsi="宋体" w:cs="宋体"/>
          <w:sz w:val="24"/>
        </w:rPr>
      </w:pPr>
      <w:r>
        <w:rPr>
          <w:rFonts w:hint="eastAsia" w:ascii="宋体" w:hAnsi="宋体" w:cs="宋体"/>
          <w:sz w:val="24"/>
        </w:rPr>
        <w:t>1、成交结果公告在采购公告发布的媒体上发布，同时代理机构将向成交供应商发出成交通知书。</w:t>
      </w:r>
    </w:p>
    <w:p w14:paraId="766A56D7">
      <w:pPr>
        <w:spacing w:line="500" w:lineRule="exact"/>
        <w:ind w:firstLine="480" w:firstLineChars="200"/>
        <w:jc w:val="left"/>
        <w:rPr>
          <w:rFonts w:ascii="宋体" w:hAnsi="宋体" w:cs="宋体"/>
          <w:sz w:val="24"/>
        </w:rPr>
      </w:pPr>
      <w:r>
        <w:rPr>
          <w:rFonts w:hint="eastAsia" w:ascii="宋体" w:hAnsi="宋体" w:cs="宋体"/>
          <w:sz w:val="24"/>
        </w:rPr>
        <w:t>2、成交供应商应及时到代理机构领取成交通知书，成交通知书是签订合同的依据和组成部分。</w:t>
      </w:r>
    </w:p>
    <w:p w14:paraId="68925CE8">
      <w:pPr>
        <w:spacing w:line="480" w:lineRule="exact"/>
        <w:ind w:firstLine="236" w:firstLineChars="98"/>
        <w:jc w:val="left"/>
        <w:rPr>
          <w:rFonts w:ascii="宋体" w:hAnsi="宋体" w:cs="宋体"/>
          <w:b/>
          <w:sz w:val="24"/>
        </w:rPr>
      </w:pPr>
      <w:r>
        <w:rPr>
          <w:rFonts w:hint="eastAsia" w:ascii="宋体" w:hAnsi="宋体" w:cs="宋体"/>
          <w:b/>
          <w:sz w:val="24"/>
        </w:rPr>
        <w:t>（三十四）签订合同</w:t>
      </w:r>
    </w:p>
    <w:p w14:paraId="52031236">
      <w:pPr>
        <w:spacing w:line="480" w:lineRule="exact"/>
        <w:ind w:firstLine="480" w:firstLineChars="200"/>
        <w:jc w:val="left"/>
        <w:rPr>
          <w:rFonts w:ascii="宋体" w:hAnsi="宋体" w:cs="宋体"/>
          <w:sz w:val="24"/>
        </w:rPr>
      </w:pPr>
      <w:r>
        <w:rPr>
          <w:rFonts w:hint="eastAsia" w:ascii="宋体" w:hAnsi="宋体" w:cs="宋体"/>
          <w:sz w:val="24"/>
        </w:rPr>
        <w:t>1、采购人与成交供应商应当在成交通知书发出之日起十五日内，按照采购文件确定的事项签订采购合同。</w:t>
      </w:r>
    </w:p>
    <w:p w14:paraId="5ADE8AF7">
      <w:pPr>
        <w:spacing w:line="480" w:lineRule="exact"/>
        <w:ind w:firstLine="480" w:firstLineChars="200"/>
        <w:jc w:val="left"/>
        <w:rPr>
          <w:rFonts w:ascii="宋体" w:hAnsi="宋体" w:cs="宋体"/>
          <w:sz w:val="24"/>
        </w:rPr>
      </w:pPr>
      <w:r>
        <w:rPr>
          <w:rFonts w:hint="eastAsia" w:ascii="宋体" w:hAnsi="宋体" w:cs="宋体"/>
          <w:sz w:val="24"/>
        </w:rPr>
        <w:t>2、除不可抗力等因素外，成交通知书发出后，采购人改变成交结果，或者成交供应商拒绝签订采购合同的，应当承担相应的法律责任。</w:t>
      </w:r>
    </w:p>
    <w:p w14:paraId="26860E68">
      <w:pPr>
        <w:spacing w:line="480" w:lineRule="exact"/>
        <w:ind w:firstLine="480" w:firstLineChars="200"/>
        <w:jc w:val="left"/>
        <w:rPr>
          <w:rFonts w:ascii="宋体" w:hAnsi="宋体" w:cs="宋体"/>
          <w:sz w:val="24"/>
        </w:rPr>
      </w:pPr>
      <w:r>
        <w:rPr>
          <w:rFonts w:hint="eastAsia" w:ascii="宋体" w:hAnsi="宋体" w:cs="宋体"/>
          <w:sz w:val="24"/>
        </w:rPr>
        <w:t>3、成交供应商拒绝签订采购合同的，采购人可以确定其他供应商作为成交供应商并签订采购合同，也可以重新开展采购活动。拒绝签订采购合同的成交供应商不得参加对该项目重新开展的采购活动。</w:t>
      </w:r>
    </w:p>
    <w:p w14:paraId="7FE37C1A">
      <w:pPr>
        <w:spacing w:line="480" w:lineRule="exact"/>
        <w:ind w:firstLine="236" w:firstLineChars="98"/>
        <w:jc w:val="left"/>
        <w:rPr>
          <w:rFonts w:ascii="宋体" w:hAnsi="宋体" w:cs="宋体"/>
          <w:sz w:val="24"/>
        </w:rPr>
      </w:pPr>
      <w:r>
        <w:rPr>
          <w:rFonts w:hint="eastAsia" w:ascii="宋体" w:hAnsi="宋体" w:cs="宋体"/>
          <w:b/>
          <w:sz w:val="24"/>
        </w:rPr>
        <w:t>（三十五）签订合同后变更数量的权利</w:t>
      </w:r>
    </w:p>
    <w:p w14:paraId="551CE6DB">
      <w:pPr>
        <w:spacing w:line="480" w:lineRule="exact"/>
        <w:ind w:firstLine="480" w:firstLineChars="200"/>
        <w:jc w:val="left"/>
        <w:rPr>
          <w:rFonts w:ascii="宋体" w:hAnsi="宋体" w:cs="宋体"/>
          <w:sz w:val="24"/>
        </w:rPr>
      </w:pPr>
      <w:r>
        <w:rPr>
          <w:rFonts w:hint="eastAsia" w:ascii="宋体" w:hAnsi="宋体" w:cs="宋体"/>
          <w:sz w:val="24"/>
        </w:rPr>
        <w:t>采购人应按照成交价格签订合同，如需要追加与合同标的相同的货物、工程或服务的，在不改变合同其他条款的前提下，经有关部门审批，可以与成交供应商签订补充合同，但增加幅度不超过成交金额的10%。</w:t>
      </w:r>
    </w:p>
    <w:p w14:paraId="50D151AC">
      <w:pPr>
        <w:spacing w:line="480" w:lineRule="exact"/>
        <w:ind w:firstLine="236" w:firstLineChars="98"/>
        <w:jc w:val="left"/>
        <w:rPr>
          <w:rFonts w:ascii="宋体" w:hAnsi="宋体" w:cs="宋体"/>
          <w:b/>
          <w:sz w:val="24"/>
        </w:rPr>
      </w:pPr>
      <w:r>
        <w:rPr>
          <w:rFonts w:hint="eastAsia" w:ascii="宋体" w:hAnsi="宋体" w:cs="宋体"/>
          <w:b/>
          <w:sz w:val="24"/>
        </w:rPr>
        <w:t xml:space="preserve"> （三十六）履约保证金</w:t>
      </w:r>
    </w:p>
    <w:p w14:paraId="093725D4">
      <w:pPr>
        <w:spacing w:line="480" w:lineRule="exact"/>
        <w:ind w:firstLine="480" w:firstLineChars="200"/>
        <w:jc w:val="left"/>
        <w:rPr>
          <w:rFonts w:ascii="宋体" w:hAnsi="宋体" w:cs="宋体"/>
          <w:sz w:val="24"/>
        </w:rPr>
      </w:pPr>
      <w:r>
        <w:rPr>
          <w:rFonts w:hint="eastAsia" w:ascii="宋体" w:hAnsi="宋体" w:cs="宋体"/>
          <w:sz w:val="24"/>
        </w:rPr>
        <w:t>本项目不收取履约保证金</w:t>
      </w:r>
    </w:p>
    <w:p w14:paraId="23B2F089">
      <w:pPr>
        <w:spacing w:line="480" w:lineRule="exact"/>
        <w:ind w:firstLine="354" w:firstLineChars="147"/>
        <w:jc w:val="left"/>
        <w:rPr>
          <w:rFonts w:ascii="宋体" w:hAnsi="宋体" w:cs="宋体"/>
          <w:b/>
          <w:sz w:val="24"/>
        </w:rPr>
      </w:pPr>
      <w:r>
        <w:rPr>
          <w:rFonts w:hint="eastAsia" w:ascii="宋体" w:hAnsi="宋体" w:cs="宋体"/>
          <w:b/>
          <w:sz w:val="24"/>
        </w:rPr>
        <w:t xml:space="preserve"> （三十七）验收</w:t>
      </w:r>
    </w:p>
    <w:p w14:paraId="22C28C4A">
      <w:pPr>
        <w:spacing w:line="480" w:lineRule="exact"/>
        <w:ind w:firstLine="480" w:firstLineChars="200"/>
        <w:jc w:val="left"/>
        <w:rPr>
          <w:rFonts w:ascii="宋体" w:hAnsi="宋体" w:cs="宋体"/>
          <w:sz w:val="24"/>
        </w:rPr>
      </w:pPr>
      <w:r>
        <w:rPr>
          <w:rFonts w:hint="eastAsia" w:ascii="宋体" w:hAnsi="宋体" w:cs="宋体"/>
          <w:sz w:val="24"/>
        </w:rPr>
        <w:t>采购人根据采购项目的具体情况，自行组织项目验收或者委托采购代理机构验收。采购人委托采购代理机构进行履约验收的，对验收结果进行书面确认。</w:t>
      </w:r>
    </w:p>
    <w:p w14:paraId="1C8CC887">
      <w:pPr>
        <w:spacing w:line="480" w:lineRule="exact"/>
        <w:ind w:firstLine="480" w:firstLineChars="200"/>
        <w:jc w:val="left"/>
        <w:rPr>
          <w:rFonts w:ascii="宋体" w:hAnsi="宋体" w:cs="宋体"/>
          <w:sz w:val="24"/>
        </w:rPr>
      </w:pPr>
    </w:p>
    <w:p w14:paraId="5FF5AE1F">
      <w:pPr>
        <w:spacing w:line="480" w:lineRule="exact"/>
        <w:jc w:val="center"/>
        <w:outlineLvl w:val="1"/>
        <w:rPr>
          <w:rFonts w:ascii="宋体" w:hAnsi="宋体" w:cs="宋体"/>
          <w:b/>
          <w:bCs/>
          <w:sz w:val="36"/>
        </w:rPr>
      </w:pPr>
      <w:bookmarkStart w:id="55" w:name="_Toc12829"/>
      <w:bookmarkStart w:id="56" w:name="_Toc18596"/>
      <w:r>
        <w:rPr>
          <w:rFonts w:hint="eastAsia" w:ascii="宋体" w:hAnsi="宋体" w:cs="宋体"/>
          <w:b/>
          <w:bCs/>
          <w:sz w:val="36"/>
        </w:rPr>
        <w:t>八、质疑</w:t>
      </w:r>
      <w:bookmarkEnd w:id="55"/>
      <w:bookmarkEnd w:id="56"/>
    </w:p>
    <w:p w14:paraId="6F25B53F">
      <w:pPr>
        <w:spacing w:line="500" w:lineRule="exact"/>
        <w:ind w:firstLine="482" w:firstLineChars="200"/>
        <w:jc w:val="left"/>
        <w:rPr>
          <w:rFonts w:ascii="宋体" w:hAnsi="宋体" w:cs="宋体"/>
          <w:b/>
          <w:sz w:val="24"/>
        </w:rPr>
      </w:pPr>
      <w:bookmarkStart w:id="57" w:name="_Toc12598"/>
      <w:r>
        <w:rPr>
          <w:rFonts w:hint="eastAsia" w:ascii="宋体" w:hAnsi="宋体" w:cs="宋体"/>
          <w:b/>
          <w:sz w:val="24"/>
        </w:rPr>
        <w:t>（三十八）质疑</w:t>
      </w:r>
      <w:bookmarkEnd w:id="57"/>
    </w:p>
    <w:p w14:paraId="14A737DD">
      <w:pPr>
        <w:numPr>
          <w:ilvl w:val="0"/>
          <w:numId w:val="5"/>
        </w:numPr>
        <w:spacing w:line="500" w:lineRule="exact"/>
        <w:ind w:firstLine="480" w:firstLineChars="200"/>
        <w:rPr>
          <w:rFonts w:ascii="宋体" w:hAnsi="宋体" w:cs="宋体"/>
          <w:sz w:val="24"/>
        </w:rPr>
      </w:pPr>
      <w:r>
        <w:rPr>
          <w:rFonts w:hint="eastAsia" w:ascii="宋体" w:hAnsi="宋体" w:cs="宋体"/>
          <w:sz w:val="24"/>
        </w:rPr>
        <w:t>供应商认为采购文件、采购过程和中标（成交）结果使自己的权益受到损害的，可以在知道或者应知其权益受到损害之日起七个工作日内，以书面形式向采购人或代理机构提出质疑。质疑超出采购人对采购代理机构委托授权范围的，采购代理机构应当告知供应商向采购人提出。</w:t>
      </w:r>
    </w:p>
    <w:p w14:paraId="6E16C411">
      <w:pPr>
        <w:spacing w:line="500" w:lineRule="exact"/>
        <w:ind w:firstLine="480" w:firstLineChars="200"/>
        <w:rPr>
          <w:rFonts w:ascii="宋体" w:hAnsi="宋体" w:cs="宋体"/>
          <w:sz w:val="24"/>
        </w:rPr>
      </w:pPr>
      <w:r>
        <w:rPr>
          <w:rFonts w:hint="eastAsia" w:ascii="宋体" w:hAnsi="宋体" w:cs="宋体"/>
          <w:sz w:val="24"/>
        </w:rPr>
        <w:t>本项目接收质疑函的方式：以书面形式提交。</w:t>
      </w:r>
    </w:p>
    <w:p w14:paraId="7A6CB583">
      <w:pPr>
        <w:spacing w:line="500" w:lineRule="exact"/>
        <w:ind w:firstLine="480" w:firstLineChars="200"/>
        <w:rPr>
          <w:rFonts w:ascii="宋体" w:hAnsi="宋体" w:cs="宋体"/>
          <w:kern w:val="0"/>
          <w:sz w:val="24"/>
        </w:rPr>
      </w:pPr>
      <w:r>
        <w:rPr>
          <w:rFonts w:hint="eastAsia" w:ascii="宋体" w:hAnsi="宋体" w:cs="宋体"/>
          <w:sz w:val="24"/>
        </w:rPr>
        <w:t>联系部门：</w:t>
      </w:r>
      <w:r>
        <w:rPr>
          <w:rFonts w:hint="eastAsia" w:ascii="宋体" w:hAnsi="宋体" w:cs="宋体"/>
          <w:kern w:val="0"/>
          <w:sz w:val="24"/>
        </w:rPr>
        <w:t>江苏方园项目招标管理有限公司</w:t>
      </w:r>
    </w:p>
    <w:p w14:paraId="377C4DD0">
      <w:pPr>
        <w:spacing w:line="500" w:lineRule="exact"/>
        <w:ind w:firstLine="480" w:firstLineChars="200"/>
        <w:rPr>
          <w:rFonts w:ascii="宋体" w:hAnsi="宋体" w:cs="宋体"/>
          <w:sz w:val="24"/>
        </w:rPr>
      </w:pPr>
      <w:r>
        <w:rPr>
          <w:rFonts w:hint="eastAsia" w:ascii="宋体" w:hAnsi="宋体" w:cs="宋体"/>
          <w:sz w:val="24"/>
        </w:rPr>
        <w:t>联系电话：1380524277</w:t>
      </w:r>
    </w:p>
    <w:p w14:paraId="36C1FBB4">
      <w:pPr>
        <w:spacing w:line="500" w:lineRule="exact"/>
        <w:ind w:firstLine="480" w:firstLineChars="200"/>
        <w:rPr>
          <w:rFonts w:ascii="宋体" w:hAnsi="宋体" w:cs="宋体"/>
          <w:sz w:val="24"/>
        </w:rPr>
      </w:pPr>
      <w:r>
        <w:rPr>
          <w:rFonts w:hint="eastAsia" w:ascii="宋体" w:hAnsi="宋体" w:cs="宋体"/>
          <w:sz w:val="24"/>
        </w:rPr>
        <w:t>2、质疑起算时间</w:t>
      </w:r>
    </w:p>
    <w:p w14:paraId="4AE20BBF">
      <w:pPr>
        <w:spacing w:line="500" w:lineRule="exact"/>
        <w:ind w:firstLine="480" w:firstLineChars="200"/>
        <w:rPr>
          <w:rFonts w:ascii="宋体" w:hAnsi="宋体" w:cs="宋体"/>
          <w:sz w:val="24"/>
        </w:rPr>
      </w:pPr>
      <w:r>
        <w:rPr>
          <w:rFonts w:hint="eastAsia" w:ascii="宋体" w:hAnsi="宋体" w:cs="宋体"/>
          <w:sz w:val="24"/>
        </w:rPr>
        <w:t>（1）对本项目采购文件提出质疑的，为收到采购文件之日或者采购文件公告期限届满之日；</w:t>
      </w:r>
    </w:p>
    <w:p w14:paraId="5CE972AE">
      <w:pPr>
        <w:spacing w:line="500" w:lineRule="exact"/>
        <w:ind w:firstLine="480" w:firstLineChars="200"/>
        <w:rPr>
          <w:rFonts w:ascii="宋体" w:hAnsi="宋体" w:cs="宋体"/>
          <w:sz w:val="24"/>
        </w:rPr>
      </w:pPr>
      <w:r>
        <w:rPr>
          <w:rFonts w:hint="eastAsia" w:ascii="宋体" w:hAnsi="宋体" w:cs="宋体"/>
          <w:sz w:val="24"/>
        </w:rPr>
        <w:t>（2）对本项目采购过程提出质疑的，为各采购程序环节结束之日；</w:t>
      </w:r>
    </w:p>
    <w:p w14:paraId="02E16451">
      <w:pPr>
        <w:spacing w:line="500" w:lineRule="exact"/>
        <w:ind w:firstLine="480" w:firstLineChars="200"/>
        <w:rPr>
          <w:rFonts w:ascii="宋体" w:hAnsi="宋体" w:cs="宋体"/>
          <w:sz w:val="24"/>
        </w:rPr>
      </w:pPr>
      <w:r>
        <w:rPr>
          <w:rFonts w:hint="eastAsia" w:ascii="宋体" w:hAnsi="宋体" w:cs="宋体"/>
          <w:sz w:val="24"/>
        </w:rPr>
        <w:t>（3）对本项目中标结果提出质疑的，为中标或者成交结果公告期限届满之日。</w:t>
      </w:r>
    </w:p>
    <w:p w14:paraId="1BD22882">
      <w:pPr>
        <w:spacing w:line="500" w:lineRule="exact"/>
        <w:ind w:firstLine="480" w:firstLineChars="200"/>
        <w:rPr>
          <w:rFonts w:ascii="宋体" w:hAnsi="宋体" w:cs="宋体"/>
          <w:sz w:val="24"/>
        </w:rPr>
      </w:pPr>
      <w:r>
        <w:rPr>
          <w:rFonts w:hint="eastAsia" w:ascii="宋体" w:hAnsi="宋体" w:cs="宋体"/>
          <w:sz w:val="24"/>
        </w:rPr>
        <w:t>3、提出质疑的供应商应符合下列条件：</w:t>
      </w:r>
    </w:p>
    <w:p w14:paraId="6868B5BA">
      <w:pPr>
        <w:spacing w:line="500" w:lineRule="exact"/>
        <w:ind w:firstLine="480" w:firstLineChars="200"/>
        <w:rPr>
          <w:rFonts w:ascii="宋体" w:hAnsi="宋体" w:cs="宋体"/>
          <w:sz w:val="24"/>
        </w:rPr>
      </w:pPr>
      <w:r>
        <w:rPr>
          <w:rFonts w:hint="eastAsia" w:ascii="宋体" w:hAnsi="宋体" w:cs="宋体"/>
          <w:sz w:val="24"/>
        </w:rPr>
        <w:t>（1）是参与所质疑项目采购活动的供应商；</w:t>
      </w:r>
    </w:p>
    <w:p w14:paraId="1410A1C0">
      <w:pPr>
        <w:spacing w:line="500" w:lineRule="exact"/>
        <w:ind w:firstLine="480" w:firstLineChars="200"/>
        <w:rPr>
          <w:rFonts w:ascii="宋体" w:hAnsi="宋体" w:cs="宋体"/>
          <w:sz w:val="24"/>
        </w:rPr>
      </w:pPr>
      <w:r>
        <w:rPr>
          <w:rFonts w:hint="eastAsia" w:ascii="宋体" w:hAnsi="宋体" w:cs="宋体"/>
          <w:sz w:val="24"/>
        </w:rPr>
        <w:t>（2）质疑函内容符合相关的规定；</w:t>
      </w:r>
    </w:p>
    <w:p w14:paraId="5D19FBEB">
      <w:pPr>
        <w:spacing w:line="500" w:lineRule="exact"/>
        <w:ind w:firstLine="480" w:firstLineChars="200"/>
        <w:rPr>
          <w:rFonts w:ascii="宋体" w:hAnsi="宋体" w:cs="宋体"/>
          <w:sz w:val="24"/>
        </w:rPr>
      </w:pPr>
      <w:r>
        <w:rPr>
          <w:rFonts w:hint="eastAsia" w:ascii="宋体" w:hAnsi="宋体" w:cs="宋体"/>
          <w:sz w:val="24"/>
        </w:rPr>
        <w:t>（3）在规定的有效期限内提起质疑。</w:t>
      </w:r>
    </w:p>
    <w:p w14:paraId="48E256EA">
      <w:pPr>
        <w:spacing w:line="500" w:lineRule="exact"/>
        <w:ind w:firstLine="480" w:firstLineChars="200"/>
        <w:rPr>
          <w:rFonts w:ascii="宋体" w:hAnsi="宋体" w:cs="宋体"/>
          <w:sz w:val="24"/>
        </w:rPr>
      </w:pPr>
      <w:r>
        <w:rPr>
          <w:rFonts w:hint="eastAsia" w:ascii="宋体" w:hAnsi="宋体" w:cs="宋体"/>
          <w:sz w:val="24"/>
        </w:rPr>
        <w:t>4、质疑函的必备内容</w:t>
      </w:r>
    </w:p>
    <w:p w14:paraId="2E2D221B">
      <w:pPr>
        <w:spacing w:line="500" w:lineRule="exact"/>
        <w:ind w:firstLine="480" w:firstLineChars="200"/>
        <w:rPr>
          <w:rFonts w:ascii="宋体" w:hAnsi="宋体" w:cs="宋体"/>
          <w:sz w:val="24"/>
        </w:rPr>
      </w:pPr>
      <w:r>
        <w:rPr>
          <w:rFonts w:hint="eastAsia" w:ascii="宋体" w:hAnsi="宋体" w:cs="宋体"/>
          <w:sz w:val="24"/>
        </w:rPr>
        <w:t>（1）质疑函必须注明质疑人单位名称、详细地址、邮编、单位和法定代表人电话号码、联系人及电话；</w:t>
      </w:r>
    </w:p>
    <w:p w14:paraId="14822A25">
      <w:pPr>
        <w:spacing w:line="500" w:lineRule="exact"/>
        <w:ind w:firstLine="480" w:firstLineChars="200"/>
        <w:rPr>
          <w:rFonts w:ascii="宋体" w:hAnsi="宋体" w:cs="宋体"/>
          <w:sz w:val="24"/>
        </w:rPr>
      </w:pPr>
      <w:r>
        <w:rPr>
          <w:rFonts w:hint="eastAsia" w:ascii="宋体" w:hAnsi="宋体" w:cs="宋体"/>
          <w:sz w:val="24"/>
        </w:rPr>
        <w:t>（2）所参加项目的具体质疑事项及事实依据；</w:t>
      </w:r>
    </w:p>
    <w:p w14:paraId="60979A17">
      <w:pPr>
        <w:spacing w:line="500" w:lineRule="exact"/>
        <w:ind w:firstLine="480" w:firstLineChars="200"/>
        <w:rPr>
          <w:rFonts w:ascii="宋体" w:hAnsi="宋体" w:cs="宋体"/>
          <w:sz w:val="24"/>
        </w:rPr>
      </w:pPr>
      <w:r>
        <w:rPr>
          <w:rFonts w:hint="eastAsia" w:ascii="宋体" w:hAnsi="宋体" w:cs="宋体"/>
          <w:sz w:val="24"/>
        </w:rPr>
        <w:t>（3）认为自己合法权益受到损害或可能受到损害的相关证据材料；</w:t>
      </w:r>
    </w:p>
    <w:p w14:paraId="32FF5D97">
      <w:pPr>
        <w:spacing w:line="500" w:lineRule="exact"/>
        <w:ind w:firstLine="480" w:firstLineChars="200"/>
        <w:rPr>
          <w:rFonts w:ascii="宋体" w:hAnsi="宋体" w:cs="宋体"/>
          <w:sz w:val="24"/>
        </w:rPr>
      </w:pPr>
      <w:r>
        <w:rPr>
          <w:rFonts w:hint="eastAsia" w:ascii="宋体" w:hAnsi="宋体" w:cs="宋体"/>
          <w:sz w:val="24"/>
        </w:rPr>
        <w:t xml:space="preserve">（4）提起质疑的日期； </w:t>
      </w:r>
    </w:p>
    <w:p w14:paraId="09B63FA7">
      <w:pPr>
        <w:spacing w:line="500" w:lineRule="exact"/>
        <w:ind w:firstLine="480" w:firstLineChars="200"/>
        <w:rPr>
          <w:rFonts w:ascii="宋体" w:hAnsi="宋体" w:cs="宋体"/>
          <w:sz w:val="24"/>
        </w:rPr>
      </w:pPr>
      <w:r>
        <w:rPr>
          <w:rFonts w:hint="eastAsia" w:ascii="宋体" w:hAnsi="宋体" w:cs="宋体"/>
          <w:sz w:val="24"/>
        </w:rPr>
        <w:t>（5）质疑函必须由法定代表人签字并加盖公章，并提供法定代表人居民身份证复印件；</w:t>
      </w:r>
    </w:p>
    <w:p w14:paraId="2FB49C52">
      <w:pPr>
        <w:spacing w:line="500" w:lineRule="exact"/>
        <w:ind w:firstLine="480" w:firstLineChars="200"/>
        <w:rPr>
          <w:rFonts w:ascii="宋体" w:hAnsi="宋体" w:cs="宋体"/>
          <w:sz w:val="24"/>
        </w:rPr>
      </w:pPr>
      <w:r>
        <w:rPr>
          <w:rFonts w:hint="eastAsia" w:ascii="宋体" w:hAnsi="宋体" w:cs="宋体"/>
          <w:sz w:val="24"/>
        </w:rPr>
        <w:t>（6）供应商委托代理质疑的，应当向代理人提交授权委托书，并载明委托代理的具体权限和事项。委托代理人须为质疑人正式工作人员，提供近三个月内质疑人为其缴纳社会保险的证明。</w:t>
      </w:r>
    </w:p>
    <w:p w14:paraId="3EDDC789">
      <w:pPr>
        <w:spacing w:line="500" w:lineRule="exact"/>
        <w:ind w:firstLine="480" w:firstLineChars="200"/>
        <w:rPr>
          <w:rFonts w:ascii="宋体" w:hAnsi="宋体" w:cs="宋体"/>
          <w:sz w:val="24"/>
        </w:rPr>
      </w:pPr>
      <w:r>
        <w:rPr>
          <w:rFonts w:hint="eastAsia" w:ascii="宋体" w:hAnsi="宋体" w:cs="宋体"/>
          <w:sz w:val="24"/>
        </w:rPr>
        <w:t>5、在法定质疑受理时限内，质疑人将质疑函以书面形式由法定代表人或法人授权代表送达采购人。</w:t>
      </w:r>
    </w:p>
    <w:p w14:paraId="5D3CB320">
      <w:pPr>
        <w:spacing w:line="500" w:lineRule="exact"/>
        <w:ind w:firstLine="480" w:firstLineChars="200"/>
        <w:rPr>
          <w:rFonts w:ascii="宋体" w:hAnsi="宋体" w:cs="宋体"/>
          <w:sz w:val="24"/>
        </w:rPr>
      </w:pPr>
      <w:r>
        <w:rPr>
          <w:rFonts w:hint="eastAsia" w:ascii="宋体" w:hAnsi="宋体" w:cs="宋体"/>
          <w:sz w:val="24"/>
        </w:rPr>
        <w:t>6、采购人在收到质疑函后，认为质疑函内容、格式等不符合本规定的，告知质疑人进行补正。质疑人应当在法定质疑期限内进行补正并重新提交质疑函，拒不补正或者超过法定期限后未重新提交质疑函的，为无效质疑。</w:t>
      </w:r>
    </w:p>
    <w:p w14:paraId="7CB0C317">
      <w:pPr>
        <w:spacing w:line="500" w:lineRule="exact"/>
        <w:ind w:firstLine="480" w:firstLineChars="200"/>
        <w:rPr>
          <w:rFonts w:ascii="宋体" w:hAnsi="宋体" w:cs="宋体"/>
          <w:b/>
          <w:sz w:val="36"/>
          <w:szCs w:val="36"/>
        </w:rPr>
      </w:pPr>
      <w:r>
        <w:rPr>
          <w:rFonts w:hint="eastAsia" w:ascii="宋体" w:hAnsi="宋体" w:cs="宋体"/>
          <w:sz w:val="24"/>
        </w:rPr>
        <w:t>7、对符合法定质疑条件的，采购人或代理机构在收到供应商的书面质疑后三个工作日内作出答复，并以书面形式通知质疑供应商和其他有关人员，但答复的内容不涉及商业秘密。</w:t>
      </w:r>
    </w:p>
    <w:p w14:paraId="24393BD9">
      <w:pPr>
        <w:rPr>
          <w:rFonts w:ascii="宋体" w:hAnsi="宋体" w:cs="宋体"/>
          <w:b/>
          <w:sz w:val="36"/>
          <w:szCs w:val="36"/>
        </w:rPr>
      </w:pPr>
      <w:bookmarkStart w:id="58" w:name="_Toc15680"/>
      <w:r>
        <w:rPr>
          <w:rFonts w:hint="eastAsia" w:ascii="宋体" w:hAnsi="宋体" w:cs="宋体"/>
          <w:b/>
          <w:sz w:val="36"/>
          <w:szCs w:val="36"/>
        </w:rPr>
        <w:br w:type="page"/>
      </w:r>
    </w:p>
    <w:bookmarkEnd w:id="58"/>
    <w:p w14:paraId="42B9BC4A">
      <w:pPr>
        <w:jc w:val="center"/>
        <w:outlineLvl w:val="0"/>
        <w:rPr>
          <w:rFonts w:ascii="宋体" w:hAnsi="宋体" w:cs="宋体"/>
          <w:b/>
          <w:sz w:val="44"/>
          <w:szCs w:val="44"/>
        </w:rPr>
      </w:pPr>
      <w:bookmarkStart w:id="59" w:name="_Toc18980"/>
      <w:bookmarkStart w:id="60" w:name="_Toc11043"/>
      <w:bookmarkStart w:id="61" w:name="_Toc29740"/>
      <w:bookmarkStart w:id="62" w:name="_Toc11451"/>
      <w:bookmarkStart w:id="63" w:name="_Toc22720"/>
      <w:r>
        <w:rPr>
          <w:rFonts w:hint="eastAsia" w:ascii="宋体" w:hAnsi="宋体" w:cs="宋体"/>
          <w:b/>
          <w:sz w:val="44"/>
          <w:szCs w:val="44"/>
        </w:rPr>
        <w:t>第三部分  评审方法</w:t>
      </w:r>
      <w:bookmarkEnd w:id="59"/>
      <w:bookmarkEnd w:id="60"/>
      <w:bookmarkEnd w:id="61"/>
      <w:bookmarkEnd w:id="62"/>
      <w:bookmarkEnd w:id="63"/>
    </w:p>
    <w:p w14:paraId="6A792F28">
      <w:pPr>
        <w:spacing w:line="500" w:lineRule="exact"/>
        <w:ind w:firstLine="482" w:firstLineChars="200"/>
        <w:jc w:val="left"/>
        <w:rPr>
          <w:rFonts w:ascii="宋体" w:hAnsi="宋体" w:cs="宋体"/>
          <w:b/>
          <w:sz w:val="24"/>
        </w:rPr>
      </w:pPr>
    </w:p>
    <w:p w14:paraId="46130E49">
      <w:pPr>
        <w:spacing w:line="500" w:lineRule="exact"/>
        <w:ind w:firstLine="482" w:firstLineChars="200"/>
        <w:rPr>
          <w:rFonts w:ascii="宋体" w:hAnsi="宋体" w:cs="宋体"/>
          <w:sz w:val="24"/>
        </w:rPr>
      </w:pPr>
      <w:r>
        <w:rPr>
          <w:rFonts w:hint="eastAsia" w:ascii="宋体" w:hAnsi="宋体" w:cs="宋体"/>
          <w:b/>
          <w:bCs/>
          <w:sz w:val="24"/>
        </w:rPr>
        <w:t>一、成交原则：</w:t>
      </w:r>
      <w:r>
        <w:rPr>
          <w:rFonts w:hint="eastAsia" w:ascii="宋体" w:hAnsi="宋体" w:cs="宋体"/>
          <w:sz w:val="24"/>
        </w:rPr>
        <w:t>根据符合采购需求，质量、服务相同的前提下，谈判小组按有效报价由低到高的顺序推荐成交候选人。报价相同的，按技术指标优劣顺序排列。</w:t>
      </w:r>
    </w:p>
    <w:p w14:paraId="6417F0EA">
      <w:pPr>
        <w:spacing w:line="500" w:lineRule="exact"/>
        <w:ind w:firstLine="482" w:firstLineChars="200"/>
        <w:rPr>
          <w:rFonts w:ascii="宋体" w:hAnsi="宋体" w:cs="宋体"/>
          <w:sz w:val="24"/>
        </w:rPr>
      </w:pPr>
      <w:r>
        <w:rPr>
          <w:rFonts w:hint="eastAsia" w:ascii="宋体" w:hAnsi="宋体" w:cs="宋体"/>
          <w:b/>
          <w:bCs/>
          <w:sz w:val="24"/>
        </w:rPr>
        <w:t>二、资格性审查：</w:t>
      </w:r>
      <w:r>
        <w:rPr>
          <w:rFonts w:hint="eastAsia" w:ascii="宋体" w:hAnsi="宋体" w:cs="宋体"/>
          <w:sz w:val="24"/>
        </w:rPr>
        <w:t>谈判小组首先按照下列指标对各供应商进行资格性审查，未通过审查的为无效标，不再参与评审。</w:t>
      </w:r>
    </w:p>
    <w:tbl>
      <w:tblPr>
        <w:tblStyle w:val="49"/>
        <w:tblW w:w="8412" w:type="dxa"/>
        <w:tblInd w:w="433"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3912"/>
        <w:gridCol w:w="4500"/>
      </w:tblGrid>
      <w:tr w14:paraId="06A1BA3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12" w:type="dxa"/>
            <w:tcBorders>
              <w:top w:val="single" w:color="auto" w:sz="6" w:space="0"/>
              <w:left w:val="single" w:color="auto" w:sz="6" w:space="0"/>
              <w:bottom w:val="single" w:color="auto" w:sz="6" w:space="0"/>
              <w:right w:val="single" w:color="auto" w:sz="6" w:space="0"/>
            </w:tcBorders>
            <w:vAlign w:val="center"/>
          </w:tcPr>
          <w:p w14:paraId="05823E84">
            <w:pPr>
              <w:ind w:firstLine="480" w:firstLineChars="200"/>
              <w:jc w:val="center"/>
              <w:rPr>
                <w:rFonts w:ascii="宋体" w:hAnsi="宋体" w:cs="宋体"/>
                <w:sz w:val="24"/>
              </w:rPr>
            </w:pPr>
            <w:r>
              <w:rPr>
                <w:rFonts w:hint="eastAsia" w:ascii="宋体" w:hAnsi="宋体" w:cs="宋体"/>
                <w:sz w:val="24"/>
              </w:rPr>
              <w:t>资格审查因素</w:t>
            </w:r>
          </w:p>
        </w:tc>
        <w:tc>
          <w:tcPr>
            <w:tcW w:w="4500" w:type="dxa"/>
            <w:tcBorders>
              <w:top w:val="single" w:color="auto" w:sz="6" w:space="0"/>
              <w:left w:val="single" w:color="auto" w:sz="6" w:space="0"/>
              <w:bottom w:val="single" w:color="auto" w:sz="6" w:space="0"/>
              <w:right w:val="single" w:color="auto" w:sz="6" w:space="0"/>
            </w:tcBorders>
            <w:vAlign w:val="center"/>
          </w:tcPr>
          <w:p w14:paraId="70A50AF1">
            <w:pPr>
              <w:ind w:firstLine="480" w:firstLineChars="200"/>
              <w:jc w:val="center"/>
              <w:rPr>
                <w:rFonts w:ascii="宋体" w:hAnsi="宋体" w:cs="宋体"/>
                <w:sz w:val="24"/>
              </w:rPr>
            </w:pPr>
            <w:r>
              <w:rPr>
                <w:rFonts w:hint="eastAsia" w:ascii="宋体" w:hAnsi="宋体" w:cs="宋体"/>
                <w:sz w:val="24"/>
              </w:rPr>
              <w:t>审查标准</w:t>
            </w:r>
          </w:p>
        </w:tc>
      </w:tr>
      <w:tr w14:paraId="676EFD4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12" w:hRule="atLeast"/>
        </w:trPr>
        <w:tc>
          <w:tcPr>
            <w:tcW w:w="3912" w:type="dxa"/>
            <w:tcBorders>
              <w:top w:val="single" w:color="auto" w:sz="6" w:space="0"/>
              <w:left w:val="single" w:color="auto" w:sz="6" w:space="0"/>
              <w:bottom w:val="single" w:color="auto" w:sz="4" w:space="0"/>
              <w:right w:val="single" w:color="auto" w:sz="6" w:space="0"/>
            </w:tcBorders>
            <w:vAlign w:val="center"/>
          </w:tcPr>
          <w:p w14:paraId="05716A6F">
            <w:pPr>
              <w:ind w:firstLine="480" w:firstLineChars="200"/>
              <w:rPr>
                <w:rFonts w:ascii="宋体" w:hAnsi="宋体" w:cs="宋体"/>
                <w:sz w:val="24"/>
              </w:rPr>
            </w:pPr>
            <w:r>
              <w:rPr>
                <w:rFonts w:hint="eastAsia" w:ascii="宋体" w:hAnsi="宋体" w:cs="宋体"/>
                <w:sz w:val="24"/>
              </w:rPr>
              <w:t>营业执照</w:t>
            </w:r>
          </w:p>
        </w:tc>
        <w:tc>
          <w:tcPr>
            <w:tcW w:w="4500" w:type="dxa"/>
            <w:tcBorders>
              <w:top w:val="single" w:color="auto" w:sz="6" w:space="0"/>
              <w:left w:val="single" w:color="auto" w:sz="6" w:space="0"/>
              <w:bottom w:val="single" w:color="auto" w:sz="4" w:space="0"/>
              <w:right w:val="single" w:color="auto" w:sz="6" w:space="0"/>
            </w:tcBorders>
            <w:vAlign w:val="center"/>
          </w:tcPr>
          <w:p w14:paraId="6B0CDC5E">
            <w:pPr>
              <w:ind w:firstLine="480" w:firstLineChars="200"/>
              <w:rPr>
                <w:rFonts w:ascii="宋体" w:hAnsi="宋体" w:cs="宋体"/>
                <w:sz w:val="24"/>
              </w:rPr>
            </w:pPr>
            <w:r>
              <w:rPr>
                <w:rFonts w:hint="eastAsia" w:ascii="宋体" w:hAnsi="宋体" w:cs="宋体"/>
                <w:sz w:val="24"/>
              </w:rPr>
              <w:t>符合谈判文件要求</w:t>
            </w:r>
          </w:p>
        </w:tc>
      </w:tr>
      <w:tr w14:paraId="4B5DB37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12" w:type="dxa"/>
            <w:tcBorders>
              <w:top w:val="single" w:color="auto" w:sz="6" w:space="0"/>
              <w:left w:val="single" w:color="auto" w:sz="6" w:space="0"/>
              <w:bottom w:val="single" w:color="auto" w:sz="6" w:space="0"/>
              <w:right w:val="single" w:color="auto" w:sz="6" w:space="0"/>
            </w:tcBorders>
            <w:shd w:val="clear" w:color="auto" w:fill="auto"/>
            <w:vAlign w:val="center"/>
          </w:tcPr>
          <w:p w14:paraId="27F6913D">
            <w:pPr>
              <w:ind w:firstLine="480" w:firstLineChars="200"/>
              <w:rPr>
                <w:rFonts w:ascii="宋体" w:hAnsi="宋体" w:cs="宋体"/>
                <w:sz w:val="24"/>
              </w:rPr>
            </w:pPr>
            <w:r>
              <w:rPr>
                <w:rFonts w:hint="eastAsia" w:ascii="宋体" w:hAnsi="宋体" w:cs="宋体"/>
                <w:sz w:val="24"/>
              </w:rPr>
              <w:t>信用信息</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tcPr>
          <w:p w14:paraId="392E96D8">
            <w:pPr>
              <w:ind w:firstLine="480" w:firstLineChars="200"/>
              <w:rPr>
                <w:rFonts w:ascii="宋体" w:hAnsi="宋体" w:cs="宋体"/>
                <w:sz w:val="24"/>
              </w:rPr>
            </w:pPr>
            <w:r>
              <w:rPr>
                <w:rFonts w:hint="eastAsia" w:ascii="宋体" w:hAnsi="宋体" w:cs="宋体"/>
                <w:sz w:val="24"/>
              </w:rPr>
              <w:t>符合谈判文件要求</w:t>
            </w:r>
          </w:p>
        </w:tc>
      </w:tr>
      <w:tr w14:paraId="6CE2A93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12" w:type="dxa"/>
            <w:tcBorders>
              <w:top w:val="single" w:color="auto" w:sz="6" w:space="0"/>
              <w:left w:val="single" w:color="auto" w:sz="6" w:space="0"/>
              <w:bottom w:val="single" w:color="auto" w:sz="6" w:space="0"/>
              <w:right w:val="single" w:color="auto" w:sz="6" w:space="0"/>
            </w:tcBorders>
            <w:shd w:val="clear" w:color="auto" w:fill="auto"/>
            <w:vAlign w:val="center"/>
          </w:tcPr>
          <w:p w14:paraId="6326D3A2">
            <w:pPr>
              <w:ind w:firstLine="480" w:firstLineChars="200"/>
              <w:rPr>
                <w:rFonts w:ascii="宋体" w:hAnsi="宋体" w:cs="宋体"/>
                <w:bCs/>
                <w:sz w:val="24"/>
              </w:rPr>
            </w:pPr>
            <w:r>
              <w:rPr>
                <w:rFonts w:hint="eastAsia" w:ascii="宋体" w:hAnsi="宋体" w:cs="宋体"/>
                <w:bCs/>
                <w:sz w:val="24"/>
              </w:rPr>
              <w:t>中小企业声明函</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tcPr>
          <w:p w14:paraId="6391D699">
            <w:pPr>
              <w:ind w:firstLine="480" w:firstLineChars="200"/>
              <w:rPr>
                <w:rFonts w:ascii="宋体" w:hAnsi="宋体" w:cs="宋体"/>
                <w:sz w:val="24"/>
              </w:rPr>
            </w:pPr>
            <w:r>
              <w:rPr>
                <w:rFonts w:hint="eastAsia" w:ascii="宋体" w:hAnsi="宋体" w:cs="宋体"/>
                <w:sz w:val="24"/>
              </w:rPr>
              <w:t>符合谈判文件要求</w:t>
            </w:r>
          </w:p>
        </w:tc>
      </w:tr>
      <w:tr w14:paraId="7F389B6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12" w:type="dxa"/>
            <w:tcBorders>
              <w:top w:val="single" w:color="auto" w:sz="6" w:space="0"/>
              <w:left w:val="single" w:color="auto" w:sz="6" w:space="0"/>
              <w:bottom w:val="single" w:color="auto" w:sz="6" w:space="0"/>
              <w:right w:val="single" w:color="auto" w:sz="6" w:space="0"/>
            </w:tcBorders>
            <w:shd w:val="clear" w:color="auto" w:fill="auto"/>
            <w:vAlign w:val="center"/>
          </w:tcPr>
          <w:p w14:paraId="64BA8B49">
            <w:pPr>
              <w:ind w:firstLine="480" w:firstLineChars="200"/>
              <w:rPr>
                <w:rFonts w:ascii="宋体" w:hAnsi="宋体" w:cs="宋体"/>
                <w:sz w:val="24"/>
              </w:rPr>
            </w:pPr>
            <w:r>
              <w:rPr>
                <w:rFonts w:hint="eastAsia" w:ascii="宋体" w:hAnsi="宋体" w:cs="宋体"/>
                <w:sz w:val="24"/>
              </w:rPr>
              <w:t>控股管理关系</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tcPr>
          <w:p w14:paraId="637E4C0E">
            <w:pPr>
              <w:ind w:firstLine="480" w:firstLineChars="200"/>
              <w:rPr>
                <w:rFonts w:ascii="宋体" w:hAnsi="宋体" w:cs="宋体"/>
                <w:sz w:val="24"/>
              </w:rPr>
            </w:pPr>
            <w:r>
              <w:rPr>
                <w:rFonts w:hint="eastAsia" w:ascii="宋体" w:hAnsi="宋体" w:cs="宋体"/>
                <w:sz w:val="24"/>
              </w:rPr>
              <w:t>符合谈判文件要求</w:t>
            </w:r>
          </w:p>
        </w:tc>
      </w:tr>
      <w:tr w14:paraId="12135FF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12" w:type="dxa"/>
            <w:tcBorders>
              <w:top w:val="single" w:color="auto" w:sz="6" w:space="0"/>
              <w:left w:val="single" w:color="auto" w:sz="6" w:space="0"/>
              <w:bottom w:val="single" w:color="auto" w:sz="6" w:space="0"/>
              <w:right w:val="single" w:color="auto" w:sz="6" w:space="0"/>
            </w:tcBorders>
            <w:shd w:val="clear" w:color="auto" w:fill="auto"/>
            <w:vAlign w:val="center"/>
          </w:tcPr>
          <w:p w14:paraId="39AFF62C">
            <w:pPr>
              <w:ind w:firstLine="480" w:firstLineChars="200"/>
              <w:rPr>
                <w:rFonts w:ascii="宋体" w:hAnsi="宋体" w:cs="宋体"/>
                <w:sz w:val="24"/>
              </w:rPr>
            </w:pPr>
            <w:r>
              <w:rPr>
                <w:rFonts w:hint="eastAsia" w:ascii="宋体" w:hAnsi="宋体" w:cs="宋体"/>
                <w:sz w:val="24"/>
              </w:rPr>
              <w:t>联合体竞标</w:t>
            </w:r>
          </w:p>
        </w:tc>
        <w:tc>
          <w:tcPr>
            <w:tcW w:w="4500" w:type="dxa"/>
            <w:tcBorders>
              <w:top w:val="single" w:color="auto" w:sz="6" w:space="0"/>
              <w:left w:val="single" w:color="auto" w:sz="6" w:space="0"/>
              <w:bottom w:val="single" w:color="auto" w:sz="6" w:space="0"/>
              <w:right w:val="single" w:color="auto" w:sz="6" w:space="0"/>
            </w:tcBorders>
            <w:shd w:val="clear" w:color="auto" w:fill="auto"/>
            <w:vAlign w:val="center"/>
          </w:tcPr>
          <w:p w14:paraId="2E83D1C6">
            <w:pPr>
              <w:ind w:firstLine="480" w:firstLineChars="200"/>
              <w:rPr>
                <w:rFonts w:ascii="宋体" w:hAnsi="宋体" w:cs="宋体"/>
                <w:sz w:val="24"/>
              </w:rPr>
            </w:pPr>
            <w:r>
              <w:rPr>
                <w:rFonts w:hint="eastAsia" w:ascii="宋体" w:hAnsi="宋体" w:cs="宋体"/>
                <w:sz w:val="24"/>
              </w:rPr>
              <w:t>不接受联合体竞标</w:t>
            </w:r>
          </w:p>
        </w:tc>
      </w:tr>
    </w:tbl>
    <w:p w14:paraId="0C5541B4">
      <w:pPr>
        <w:spacing w:line="500" w:lineRule="exact"/>
        <w:ind w:firstLine="482" w:firstLineChars="200"/>
        <w:rPr>
          <w:rFonts w:ascii="宋体" w:hAnsi="宋体" w:cs="宋体"/>
          <w:sz w:val="24"/>
        </w:rPr>
      </w:pPr>
      <w:r>
        <w:rPr>
          <w:rFonts w:hint="eastAsia" w:ascii="宋体" w:hAnsi="宋体" w:cs="宋体"/>
          <w:b/>
          <w:bCs/>
          <w:sz w:val="24"/>
        </w:rPr>
        <w:t>三、符合性审查：</w:t>
      </w:r>
      <w:r>
        <w:rPr>
          <w:rFonts w:hint="eastAsia" w:ascii="宋体" w:hAnsi="宋体" w:cs="宋体"/>
          <w:sz w:val="24"/>
        </w:rPr>
        <w:t>谈判小组按照谈判文件规定的评审标准，对各响应文件进行进一步评审和比较</w:t>
      </w:r>
      <w:r>
        <w:rPr>
          <w:rFonts w:hint="eastAsia" w:ascii="宋体" w:hAnsi="宋体" w:cs="宋体"/>
          <w:b/>
          <w:bCs/>
          <w:color w:val="FF0000"/>
          <w:sz w:val="24"/>
        </w:rPr>
        <w:t>（标</w:t>
      </w:r>
      <w:r>
        <w:rPr>
          <w:rFonts w:hint="eastAsia" w:ascii="微软雅黑" w:hAnsi="微软雅黑" w:eastAsia="微软雅黑" w:cs="微软雅黑"/>
          <w:b/>
          <w:bCs/>
          <w:color w:val="FF0000"/>
          <w:sz w:val="24"/>
        </w:rPr>
        <w:t>★</w:t>
      </w:r>
      <w:r>
        <w:rPr>
          <w:rFonts w:hint="eastAsia" w:ascii="宋体" w:hAnsi="宋体" w:cs="宋体"/>
          <w:b/>
          <w:bCs/>
          <w:color w:val="FF0000"/>
          <w:sz w:val="24"/>
        </w:rPr>
        <w:t>的为实质性响应内容，未响应的作无效标处理）。</w:t>
      </w:r>
      <w:r>
        <w:rPr>
          <w:rFonts w:hint="eastAsia" w:ascii="宋体" w:hAnsi="宋体" w:cs="宋体"/>
          <w:sz w:val="24"/>
        </w:rPr>
        <w:t xml:space="preserve"> </w:t>
      </w:r>
    </w:p>
    <w:tbl>
      <w:tblPr>
        <w:tblStyle w:val="49"/>
        <w:tblW w:w="8387" w:type="dxa"/>
        <w:tblInd w:w="45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4987"/>
        <w:gridCol w:w="3400"/>
      </w:tblGrid>
      <w:tr w14:paraId="68CF1AE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12" w:hRule="atLeast"/>
        </w:trPr>
        <w:tc>
          <w:tcPr>
            <w:tcW w:w="4987" w:type="dxa"/>
            <w:tcBorders>
              <w:top w:val="single" w:color="auto" w:sz="6" w:space="0"/>
              <w:left w:val="single" w:color="auto" w:sz="6" w:space="0"/>
              <w:bottom w:val="single" w:color="auto" w:sz="6" w:space="0"/>
              <w:right w:val="single" w:color="auto" w:sz="6" w:space="0"/>
            </w:tcBorders>
            <w:vAlign w:val="center"/>
          </w:tcPr>
          <w:p w14:paraId="3DC647FE">
            <w:pPr>
              <w:ind w:firstLine="480" w:firstLineChars="200"/>
              <w:jc w:val="center"/>
              <w:rPr>
                <w:rFonts w:ascii="宋体" w:hAnsi="宋体" w:cs="宋体"/>
                <w:sz w:val="24"/>
              </w:rPr>
            </w:pPr>
            <w:r>
              <w:rPr>
                <w:rFonts w:hint="eastAsia" w:ascii="宋体" w:hAnsi="宋体" w:cs="宋体"/>
                <w:sz w:val="24"/>
              </w:rPr>
              <w:t>符合性审查因素</w:t>
            </w:r>
          </w:p>
        </w:tc>
        <w:tc>
          <w:tcPr>
            <w:tcW w:w="3400" w:type="dxa"/>
            <w:tcBorders>
              <w:top w:val="single" w:color="auto" w:sz="6" w:space="0"/>
              <w:left w:val="single" w:color="auto" w:sz="6" w:space="0"/>
              <w:bottom w:val="single" w:color="auto" w:sz="6" w:space="0"/>
              <w:right w:val="single" w:color="auto" w:sz="6" w:space="0"/>
            </w:tcBorders>
            <w:vAlign w:val="center"/>
          </w:tcPr>
          <w:p w14:paraId="7AC4BE8D">
            <w:pPr>
              <w:ind w:firstLine="480" w:firstLineChars="200"/>
              <w:jc w:val="center"/>
              <w:rPr>
                <w:rFonts w:ascii="宋体" w:hAnsi="宋体" w:cs="宋体"/>
                <w:sz w:val="24"/>
              </w:rPr>
            </w:pPr>
            <w:r>
              <w:rPr>
                <w:rFonts w:hint="eastAsia" w:ascii="宋体" w:hAnsi="宋体" w:cs="宋体"/>
                <w:sz w:val="24"/>
              </w:rPr>
              <w:t>审查标准</w:t>
            </w:r>
          </w:p>
        </w:tc>
      </w:tr>
      <w:tr w14:paraId="2D14D70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12" w:hRule="atLeast"/>
        </w:trPr>
        <w:tc>
          <w:tcPr>
            <w:tcW w:w="4987" w:type="dxa"/>
            <w:tcBorders>
              <w:top w:val="single" w:color="auto" w:sz="6" w:space="0"/>
              <w:left w:val="single" w:color="auto" w:sz="6" w:space="0"/>
              <w:bottom w:val="single" w:color="auto" w:sz="6" w:space="0"/>
              <w:right w:val="single" w:color="auto" w:sz="6" w:space="0"/>
            </w:tcBorders>
            <w:vAlign w:val="center"/>
          </w:tcPr>
          <w:p w14:paraId="6C4847DD">
            <w:pPr>
              <w:jc w:val="left"/>
              <w:rPr>
                <w:rFonts w:ascii="宋体" w:hAnsi="宋体" w:cs="宋体"/>
                <w:sz w:val="24"/>
              </w:rPr>
            </w:pPr>
            <w:r>
              <w:rPr>
                <w:rFonts w:hint="eastAsia" w:ascii="宋体" w:hAnsi="宋体" w:cs="宋体"/>
                <w:sz w:val="24"/>
              </w:rPr>
              <w:t>法定代表人身份证明或授权委托书</w:t>
            </w:r>
          </w:p>
        </w:tc>
        <w:tc>
          <w:tcPr>
            <w:tcW w:w="3400" w:type="dxa"/>
            <w:tcBorders>
              <w:top w:val="single" w:color="auto" w:sz="6" w:space="0"/>
              <w:left w:val="single" w:color="auto" w:sz="6" w:space="0"/>
              <w:bottom w:val="single" w:color="auto" w:sz="6" w:space="0"/>
              <w:right w:val="single" w:color="auto" w:sz="6" w:space="0"/>
            </w:tcBorders>
            <w:vAlign w:val="center"/>
          </w:tcPr>
          <w:p w14:paraId="2BF9E6B7">
            <w:pPr>
              <w:ind w:firstLine="480" w:firstLineChars="200"/>
              <w:rPr>
                <w:rFonts w:ascii="宋体" w:hAnsi="宋体" w:cs="宋体"/>
                <w:sz w:val="24"/>
              </w:rPr>
            </w:pPr>
            <w:r>
              <w:rPr>
                <w:rFonts w:hint="eastAsia" w:ascii="宋体" w:hAnsi="宋体" w:cs="宋体"/>
                <w:sz w:val="24"/>
              </w:rPr>
              <w:t>符合谈判文件要求</w:t>
            </w:r>
          </w:p>
        </w:tc>
      </w:tr>
      <w:tr w14:paraId="4BC6B88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12" w:hRule="atLeast"/>
        </w:trPr>
        <w:tc>
          <w:tcPr>
            <w:tcW w:w="4987" w:type="dxa"/>
            <w:tcBorders>
              <w:top w:val="single" w:color="auto" w:sz="6" w:space="0"/>
              <w:left w:val="single" w:color="auto" w:sz="6" w:space="0"/>
              <w:bottom w:val="single" w:color="auto" w:sz="6" w:space="0"/>
              <w:right w:val="single" w:color="auto" w:sz="6" w:space="0"/>
            </w:tcBorders>
            <w:vAlign w:val="center"/>
          </w:tcPr>
          <w:p w14:paraId="13899ACF">
            <w:pPr>
              <w:jc w:val="left"/>
              <w:rPr>
                <w:rFonts w:ascii="宋体" w:hAnsi="宋体" w:cs="宋体"/>
                <w:sz w:val="24"/>
              </w:rPr>
            </w:pPr>
            <w:r>
              <w:rPr>
                <w:rFonts w:hint="eastAsia" w:ascii="宋体" w:hAnsi="宋体" w:cs="宋体"/>
                <w:sz w:val="24"/>
              </w:rPr>
              <w:t>报价一览表及报价明细</w:t>
            </w:r>
          </w:p>
        </w:tc>
        <w:tc>
          <w:tcPr>
            <w:tcW w:w="3400" w:type="dxa"/>
            <w:tcBorders>
              <w:top w:val="single" w:color="auto" w:sz="6" w:space="0"/>
              <w:left w:val="single" w:color="auto" w:sz="6" w:space="0"/>
              <w:bottom w:val="single" w:color="auto" w:sz="6" w:space="0"/>
              <w:right w:val="single" w:color="auto" w:sz="6" w:space="0"/>
            </w:tcBorders>
            <w:vAlign w:val="center"/>
          </w:tcPr>
          <w:p w14:paraId="2104AF53">
            <w:pPr>
              <w:ind w:firstLine="480" w:firstLineChars="200"/>
              <w:rPr>
                <w:rFonts w:ascii="宋体" w:hAnsi="宋体" w:cs="宋体"/>
                <w:sz w:val="24"/>
              </w:rPr>
            </w:pPr>
            <w:r>
              <w:rPr>
                <w:rFonts w:hint="eastAsia" w:ascii="宋体" w:hAnsi="宋体" w:cs="宋体"/>
                <w:sz w:val="24"/>
              </w:rPr>
              <w:t>符合谈判文件要求</w:t>
            </w:r>
          </w:p>
        </w:tc>
      </w:tr>
      <w:tr w14:paraId="74E369D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12" w:hRule="atLeast"/>
        </w:trPr>
        <w:tc>
          <w:tcPr>
            <w:tcW w:w="4987" w:type="dxa"/>
            <w:tcBorders>
              <w:top w:val="single" w:color="auto" w:sz="6" w:space="0"/>
              <w:left w:val="single" w:color="auto" w:sz="6" w:space="0"/>
              <w:bottom w:val="single" w:color="auto" w:sz="6" w:space="0"/>
              <w:right w:val="single" w:color="auto" w:sz="6" w:space="0"/>
            </w:tcBorders>
            <w:vAlign w:val="center"/>
          </w:tcPr>
          <w:p w14:paraId="21A0ECEE">
            <w:pPr>
              <w:jc w:val="left"/>
              <w:rPr>
                <w:rFonts w:ascii="宋体" w:hAnsi="宋体" w:cs="宋体"/>
                <w:sz w:val="24"/>
              </w:rPr>
            </w:pPr>
            <w:r>
              <w:rPr>
                <w:rFonts w:hint="eastAsia" w:ascii="宋体" w:hAnsi="宋体" w:cs="宋体"/>
                <w:sz w:val="24"/>
              </w:rPr>
              <w:t>技术标准和要求</w:t>
            </w:r>
          </w:p>
        </w:tc>
        <w:tc>
          <w:tcPr>
            <w:tcW w:w="3400" w:type="dxa"/>
            <w:tcBorders>
              <w:top w:val="single" w:color="auto" w:sz="6" w:space="0"/>
              <w:left w:val="single" w:color="auto" w:sz="6" w:space="0"/>
              <w:bottom w:val="single" w:color="auto" w:sz="6" w:space="0"/>
              <w:right w:val="single" w:color="auto" w:sz="6" w:space="0"/>
            </w:tcBorders>
            <w:vAlign w:val="center"/>
          </w:tcPr>
          <w:p w14:paraId="35AE258D">
            <w:pPr>
              <w:ind w:firstLine="480" w:firstLineChars="200"/>
              <w:rPr>
                <w:rFonts w:ascii="宋体" w:hAnsi="宋体" w:cs="宋体"/>
                <w:sz w:val="24"/>
              </w:rPr>
            </w:pPr>
            <w:r>
              <w:rPr>
                <w:rFonts w:hint="eastAsia" w:ascii="宋体" w:hAnsi="宋体" w:cs="宋体"/>
                <w:sz w:val="24"/>
              </w:rPr>
              <w:t>符合谈判文件要求</w:t>
            </w:r>
          </w:p>
        </w:tc>
      </w:tr>
      <w:tr w14:paraId="394971D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12" w:hRule="atLeast"/>
        </w:trPr>
        <w:tc>
          <w:tcPr>
            <w:tcW w:w="4987" w:type="dxa"/>
            <w:tcBorders>
              <w:top w:val="single" w:color="auto" w:sz="6" w:space="0"/>
              <w:left w:val="single" w:color="auto" w:sz="6" w:space="0"/>
              <w:bottom w:val="single" w:color="auto" w:sz="6" w:space="0"/>
              <w:right w:val="single" w:color="auto" w:sz="6" w:space="0"/>
            </w:tcBorders>
            <w:vAlign w:val="center"/>
          </w:tcPr>
          <w:p w14:paraId="535F375D">
            <w:pPr>
              <w:jc w:val="left"/>
              <w:rPr>
                <w:rFonts w:ascii="宋体" w:hAnsi="宋体" w:cs="宋体"/>
                <w:sz w:val="24"/>
              </w:rPr>
            </w:pPr>
            <w:r>
              <w:rPr>
                <w:rFonts w:hint="eastAsia" w:ascii="宋体" w:hAnsi="宋体" w:cs="宋体"/>
                <w:sz w:val="24"/>
              </w:rPr>
              <w:t>其他（有效性、完整性及对谈判文件的响应程度）</w:t>
            </w:r>
          </w:p>
        </w:tc>
        <w:tc>
          <w:tcPr>
            <w:tcW w:w="3400" w:type="dxa"/>
            <w:tcBorders>
              <w:top w:val="single" w:color="auto" w:sz="6" w:space="0"/>
              <w:left w:val="single" w:color="auto" w:sz="6" w:space="0"/>
              <w:bottom w:val="single" w:color="auto" w:sz="6" w:space="0"/>
              <w:right w:val="single" w:color="auto" w:sz="6" w:space="0"/>
            </w:tcBorders>
            <w:vAlign w:val="center"/>
          </w:tcPr>
          <w:p w14:paraId="06DBCCB8">
            <w:pPr>
              <w:ind w:firstLine="480" w:firstLineChars="200"/>
              <w:rPr>
                <w:rFonts w:ascii="宋体" w:hAnsi="宋体" w:cs="宋体"/>
                <w:sz w:val="24"/>
              </w:rPr>
            </w:pPr>
            <w:r>
              <w:rPr>
                <w:rFonts w:hint="eastAsia" w:ascii="宋体" w:hAnsi="宋体" w:cs="宋体"/>
                <w:sz w:val="24"/>
              </w:rPr>
              <w:t>符合谈判文件要求</w:t>
            </w:r>
          </w:p>
        </w:tc>
      </w:tr>
    </w:tbl>
    <w:p w14:paraId="51A0BAB1">
      <w:pPr>
        <w:spacing w:line="500" w:lineRule="exact"/>
        <w:ind w:firstLine="480" w:firstLineChars="200"/>
        <w:rPr>
          <w:rFonts w:ascii="宋体" w:hAnsi="宋体" w:cs="宋体"/>
          <w:sz w:val="24"/>
        </w:rPr>
      </w:pPr>
      <w:r>
        <w:rPr>
          <w:rFonts w:hint="eastAsia" w:ascii="宋体" w:hAnsi="宋体" w:cs="宋体"/>
          <w:sz w:val="24"/>
        </w:rPr>
        <w:t>1、谈判小组认为供应商的报价明显低于其他通过符合性审查的供应商的报价，有可能影响产品质量或者不能诚信履约的，应当要求其在合理的时间内提供书面说明，必要时提交相关证明材料；供应商不能证明其报价合理性的，谈判小组会应当将其作为无效投标处理。</w:t>
      </w:r>
    </w:p>
    <w:p w14:paraId="1E26E8A0">
      <w:pPr>
        <w:spacing w:line="500" w:lineRule="exact"/>
        <w:ind w:firstLine="480" w:firstLineChars="200"/>
        <w:rPr>
          <w:rFonts w:ascii="宋体" w:hAnsi="宋体" w:cs="宋体"/>
          <w:b/>
          <w:bCs/>
          <w:sz w:val="24"/>
        </w:rPr>
      </w:pPr>
      <w:r>
        <w:rPr>
          <w:rFonts w:hint="eastAsia" w:ascii="宋体" w:hAnsi="宋体" w:cs="宋体"/>
          <w:sz w:val="24"/>
        </w:rPr>
        <w:t>2、谈判小组按谈判文件中规定的评标方法和标准，对符合性检查合格的响应文件进行商务和技术评比。</w:t>
      </w:r>
    </w:p>
    <w:p w14:paraId="55B7112C">
      <w:pPr>
        <w:spacing w:line="500" w:lineRule="exact"/>
        <w:ind w:firstLine="482" w:firstLineChars="200"/>
        <w:rPr>
          <w:rFonts w:ascii="宋体" w:hAnsi="宋体" w:cs="宋体"/>
          <w:sz w:val="24"/>
        </w:rPr>
      </w:pPr>
      <w:r>
        <w:rPr>
          <w:rFonts w:hint="eastAsia" w:ascii="宋体" w:hAnsi="宋体" w:cs="宋体"/>
          <w:b/>
          <w:bCs/>
          <w:sz w:val="24"/>
        </w:rPr>
        <w:t>四、评审结果</w:t>
      </w:r>
      <w:r>
        <w:rPr>
          <w:rFonts w:hint="eastAsia" w:ascii="宋体" w:hAnsi="宋体" w:cs="宋体"/>
          <w:sz w:val="24"/>
        </w:rPr>
        <w:t>。谈判小组按照本办法规定推荐成交候选人，并形成评审报告。</w:t>
      </w:r>
    </w:p>
    <w:p w14:paraId="6B1AB706">
      <w:pPr>
        <w:spacing w:line="500" w:lineRule="exact"/>
        <w:ind w:firstLine="480" w:firstLineChars="200"/>
        <w:rPr>
          <w:rFonts w:ascii="宋体" w:hAnsi="宋体" w:cs="宋体"/>
          <w:sz w:val="24"/>
        </w:rPr>
      </w:pPr>
    </w:p>
    <w:p w14:paraId="7AEC4C8C">
      <w:pPr>
        <w:spacing w:line="800" w:lineRule="exact"/>
        <w:jc w:val="center"/>
        <w:rPr>
          <w:rFonts w:ascii="宋体" w:hAnsi="宋体" w:cs="宋体"/>
          <w:b/>
          <w:sz w:val="36"/>
          <w:szCs w:val="36"/>
        </w:rPr>
      </w:pPr>
    </w:p>
    <w:p w14:paraId="5641A24D">
      <w:pPr>
        <w:spacing w:line="800" w:lineRule="exact"/>
        <w:jc w:val="center"/>
        <w:rPr>
          <w:rFonts w:ascii="宋体" w:hAnsi="宋体" w:cs="宋体"/>
          <w:b/>
          <w:sz w:val="36"/>
          <w:szCs w:val="36"/>
        </w:rPr>
      </w:pPr>
    </w:p>
    <w:p w14:paraId="3F329450">
      <w:pPr>
        <w:spacing w:line="800" w:lineRule="exact"/>
        <w:jc w:val="center"/>
        <w:outlineLvl w:val="0"/>
        <w:rPr>
          <w:rFonts w:ascii="宋体" w:hAnsi="宋体" w:cs="宋体"/>
          <w:b/>
          <w:sz w:val="36"/>
          <w:szCs w:val="36"/>
        </w:rPr>
      </w:pPr>
      <w:bookmarkStart w:id="64" w:name="_Toc28013"/>
      <w:bookmarkStart w:id="65" w:name="_Toc14272"/>
      <w:r>
        <w:rPr>
          <w:rFonts w:hint="eastAsia" w:ascii="宋体" w:hAnsi="宋体" w:cs="宋体"/>
          <w:b/>
          <w:sz w:val="36"/>
          <w:szCs w:val="36"/>
        </w:rPr>
        <w:t>第四部分  采购需求</w:t>
      </w:r>
      <w:bookmarkEnd w:id="64"/>
      <w:bookmarkEnd w:id="65"/>
    </w:p>
    <w:p w14:paraId="3AA7B952">
      <w:pPr>
        <w:pStyle w:val="148"/>
        <w:spacing w:line="360" w:lineRule="auto"/>
        <w:ind w:firstLine="562" w:firstLineChars="200"/>
        <w:outlineLvl w:val="1"/>
        <w:rPr>
          <w:rFonts w:ascii="宋体" w:hAnsi="宋体" w:cs="宋体"/>
          <w:b w:val="0"/>
          <w:sz w:val="28"/>
          <w:szCs w:val="28"/>
        </w:rPr>
      </w:pPr>
      <w:bookmarkStart w:id="66" w:name="_Toc14947"/>
      <w:bookmarkStart w:id="67" w:name="_Toc13349"/>
      <w:bookmarkStart w:id="68" w:name="_Toc4330"/>
      <w:r>
        <w:rPr>
          <w:rFonts w:hint="eastAsia" w:ascii="宋体" w:hAnsi="宋体" w:eastAsia="宋体" w:cs="宋体"/>
          <w:sz w:val="28"/>
          <w:szCs w:val="28"/>
        </w:rPr>
        <w:t>一、项目简介</w:t>
      </w:r>
      <w:bookmarkEnd w:id="66"/>
    </w:p>
    <w:p w14:paraId="4F7D59E7">
      <w:pPr>
        <w:spacing w:line="500" w:lineRule="exact"/>
        <w:ind w:firstLine="480" w:firstLineChars="200"/>
        <w:rPr>
          <w:rFonts w:ascii="宋体" w:hAnsi="宋体" w:cs="宋体"/>
          <w:sz w:val="24"/>
        </w:rPr>
      </w:pPr>
      <w:r>
        <w:rPr>
          <w:rFonts w:hint="eastAsia" w:ascii="宋体" w:hAnsi="宋体" w:cs="宋体"/>
          <w:sz w:val="24"/>
        </w:rPr>
        <w:t>1、宿迁市宿城区龙河人民医院拟定对医院后勤服务进行采购，服务所需岗位和人员数量包括：管理岗位1人、保洁、运送、驻守工勤人员共12人（运送人员有夜班）、保安12人(含消控人员24小时值班）、水电维修4人（有夜班），预算80万元。</w:t>
      </w:r>
    </w:p>
    <w:p w14:paraId="16EEC7F7">
      <w:pPr>
        <w:pStyle w:val="244"/>
        <w:topLinePunct/>
        <w:spacing w:line="360" w:lineRule="auto"/>
        <w:ind w:firstLine="480" w:firstLineChars="200"/>
        <w:rPr>
          <w:rFonts w:ascii="宋体" w:hAnsi="宋体" w:cs="宋体"/>
          <w:kern w:val="2"/>
          <w:sz w:val="24"/>
          <w:szCs w:val="24"/>
          <w:highlight w:val="yellow"/>
        </w:rPr>
      </w:pPr>
      <w:r>
        <w:rPr>
          <w:rFonts w:hint="eastAsia" w:ascii="宋体" w:hAnsi="宋体" w:cs="宋体"/>
          <w:kern w:val="2"/>
          <w:sz w:val="24"/>
          <w:szCs w:val="24"/>
        </w:rPr>
        <w:t>2、付款方式</w:t>
      </w:r>
    </w:p>
    <w:p w14:paraId="617A086C">
      <w:pPr>
        <w:pStyle w:val="232"/>
        <w:spacing w:line="460" w:lineRule="exact"/>
        <w:ind w:firstLine="482"/>
        <w:rPr>
          <w:rStyle w:val="186"/>
          <w:rFonts w:ascii="宋体" w:hAnsi="宋体" w:cs="宋体"/>
          <w:b/>
          <w:bCs/>
          <w:color w:val="000000"/>
          <w:sz w:val="24"/>
          <w:szCs w:val="24"/>
        </w:rPr>
      </w:pPr>
      <w:r>
        <w:rPr>
          <w:rStyle w:val="186"/>
          <w:rFonts w:hint="eastAsia" w:ascii="宋体" w:hAnsi="宋体" w:cs="宋体"/>
          <w:b/>
          <w:bCs/>
          <w:color w:val="000000"/>
          <w:sz w:val="24"/>
          <w:szCs w:val="24"/>
        </w:rPr>
        <w:t>（1）付款：</w:t>
      </w:r>
    </w:p>
    <w:p w14:paraId="21A21232">
      <w:pPr>
        <w:pStyle w:val="232"/>
        <w:spacing w:line="460" w:lineRule="exact"/>
        <w:ind w:firstLine="480"/>
        <w:rPr>
          <w:rStyle w:val="186"/>
          <w:rFonts w:ascii="宋体" w:hAnsi="宋体" w:cs="宋体"/>
          <w:b/>
          <w:bCs/>
          <w:color w:val="000000"/>
          <w:sz w:val="24"/>
          <w:szCs w:val="24"/>
        </w:rPr>
      </w:pPr>
      <w:r>
        <w:rPr>
          <w:rStyle w:val="186"/>
          <w:rFonts w:hint="eastAsia" w:ascii="宋体" w:hAnsi="宋体" w:cs="宋体"/>
          <w:color w:val="000000"/>
          <w:sz w:val="24"/>
          <w:szCs w:val="24"/>
        </w:rPr>
        <w:t>预付款：合同签订后，采购人在接到中标人票据的</w:t>
      </w:r>
      <w:r>
        <w:rPr>
          <w:rFonts w:hint="eastAsia" w:ascii="宋体" w:hAnsi="宋体" w:cs="宋体"/>
          <w:b/>
          <w:color w:val="000000"/>
          <w:sz w:val="24"/>
        </w:rPr>
        <w:t>10个工作日内</w:t>
      </w:r>
      <w:r>
        <w:rPr>
          <w:rStyle w:val="186"/>
          <w:rFonts w:hint="eastAsia" w:ascii="宋体" w:hAnsi="宋体" w:cs="宋体"/>
          <w:b/>
          <w:color w:val="000000"/>
          <w:sz w:val="24"/>
          <w:szCs w:val="24"/>
        </w:rPr>
        <w:t>，</w:t>
      </w:r>
      <w:r>
        <w:rPr>
          <w:rStyle w:val="186"/>
          <w:rFonts w:hint="eastAsia" w:ascii="宋体" w:hAnsi="宋体" w:cs="宋体"/>
          <w:b/>
          <w:bCs/>
          <w:color w:val="000000"/>
          <w:sz w:val="24"/>
          <w:szCs w:val="24"/>
        </w:rPr>
        <w:t>支付合同金额的10%作为预付款；</w:t>
      </w:r>
    </w:p>
    <w:p w14:paraId="61A0BE69">
      <w:pPr>
        <w:pStyle w:val="232"/>
        <w:spacing w:line="460" w:lineRule="exact"/>
        <w:ind w:firstLine="480"/>
        <w:rPr>
          <w:rStyle w:val="186"/>
          <w:rFonts w:ascii="宋体" w:hAnsi="宋体" w:cs="宋体"/>
          <w:color w:val="000000"/>
          <w:sz w:val="24"/>
          <w:szCs w:val="24"/>
        </w:rPr>
      </w:pPr>
      <w:r>
        <w:rPr>
          <w:rStyle w:val="186"/>
          <w:rFonts w:hint="eastAsia" w:ascii="宋体" w:hAnsi="宋体" w:cs="宋体"/>
          <w:color w:val="000000"/>
          <w:sz w:val="24"/>
          <w:szCs w:val="24"/>
        </w:rPr>
        <w:t>进度款：服务费用由采购人</w:t>
      </w:r>
      <w:r>
        <w:rPr>
          <w:rStyle w:val="186"/>
          <w:rFonts w:hint="eastAsia" w:ascii="宋体" w:hAnsi="宋体" w:cs="宋体"/>
          <w:b/>
          <w:bCs/>
          <w:color w:val="000000"/>
          <w:sz w:val="24"/>
          <w:szCs w:val="24"/>
        </w:rPr>
        <w:t>按季考核</w:t>
      </w:r>
      <w:r>
        <w:rPr>
          <w:rStyle w:val="186"/>
          <w:rFonts w:hint="eastAsia" w:ascii="宋体" w:hAnsi="宋体" w:cs="宋体"/>
          <w:color w:val="000000"/>
          <w:sz w:val="24"/>
          <w:szCs w:val="24"/>
        </w:rPr>
        <w:t>后支付。中标人按根据每季度实际发生的所有后勤管理（考核后的）费用按季度开具合法票据，采购人在接到中标人票据的</w:t>
      </w:r>
      <w:r>
        <w:rPr>
          <w:rFonts w:hint="eastAsia" w:ascii="宋体" w:hAnsi="宋体" w:cs="宋体"/>
          <w:b/>
          <w:color w:val="000000"/>
          <w:sz w:val="24"/>
        </w:rPr>
        <w:t>10个工作日内</w:t>
      </w:r>
      <w:r>
        <w:rPr>
          <w:rStyle w:val="186"/>
          <w:rFonts w:hint="eastAsia" w:ascii="宋体" w:hAnsi="宋体" w:cs="宋体"/>
          <w:color w:val="000000"/>
          <w:sz w:val="24"/>
          <w:szCs w:val="24"/>
        </w:rPr>
        <w:t>将上个季度实际发生的所有后勤管理（考核后的）费用支付给中标人。本项目付款推广采用数字化人民币支付。</w:t>
      </w:r>
    </w:p>
    <w:p w14:paraId="6EB5AF76">
      <w:pPr>
        <w:pStyle w:val="232"/>
        <w:spacing w:line="460" w:lineRule="exact"/>
        <w:ind w:firstLine="482"/>
        <w:rPr>
          <w:rStyle w:val="186"/>
          <w:rFonts w:ascii="宋体" w:hAnsi="宋体" w:cs="宋体"/>
          <w:b/>
          <w:bCs/>
          <w:color w:val="000000"/>
          <w:sz w:val="24"/>
          <w:szCs w:val="24"/>
        </w:rPr>
      </w:pPr>
      <w:r>
        <w:rPr>
          <w:rStyle w:val="186"/>
          <w:rFonts w:hint="eastAsia" w:ascii="宋体" w:hAnsi="宋体" w:cs="宋体"/>
          <w:b/>
          <w:bCs/>
          <w:color w:val="000000"/>
          <w:sz w:val="24"/>
          <w:szCs w:val="24"/>
        </w:rPr>
        <w:t>（注：在签订合同时，中标人明确表示无需预付款或者主动要求降低预付款比例的，采购人可不适用前述预付款规定）</w:t>
      </w:r>
    </w:p>
    <w:p w14:paraId="4B194298">
      <w:pPr>
        <w:pStyle w:val="235"/>
        <w:spacing w:line="480" w:lineRule="exact"/>
        <w:ind w:firstLine="482"/>
        <w:rPr>
          <w:rStyle w:val="186"/>
          <w:rFonts w:ascii="宋体" w:hAnsi="宋体" w:cs="宋体"/>
          <w:color w:val="000000"/>
          <w:sz w:val="24"/>
        </w:rPr>
      </w:pPr>
      <w:r>
        <w:rPr>
          <w:rStyle w:val="186"/>
          <w:rFonts w:hint="eastAsia" w:ascii="宋体" w:hAnsi="宋体" w:cs="宋体"/>
          <w:b/>
          <w:bCs/>
          <w:color w:val="000000"/>
          <w:sz w:val="24"/>
        </w:rPr>
        <w:t>（2）结算：按季度支付合同款，</w:t>
      </w:r>
      <w:r>
        <w:rPr>
          <w:rStyle w:val="186"/>
          <w:rFonts w:hint="eastAsia" w:ascii="宋体" w:hAnsi="宋体" w:cs="宋体"/>
          <w:color w:val="000000"/>
          <w:sz w:val="24"/>
        </w:rPr>
        <w:t>每季度经甲方考核合格后支付一次，中标人凭</w:t>
      </w:r>
    </w:p>
    <w:p w14:paraId="231C9D75">
      <w:pPr>
        <w:pStyle w:val="235"/>
        <w:spacing w:line="480" w:lineRule="exact"/>
        <w:rPr>
          <w:rStyle w:val="186"/>
          <w:rFonts w:ascii="宋体" w:hAnsi="宋体" w:cs="宋体"/>
          <w:color w:val="000000"/>
          <w:sz w:val="24"/>
        </w:rPr>
      </w:pPr>
      <w:r>
        <w:rPr>
          <w:rStyle w:val="186"/>
          <w:rFonts w:hint="eastAsia" w:ascii="宋体" w:hAnsi="宋体" w:cs="宋体"/>
          <w:color w:val="000000"/>
          <w:sz w:val="24"/>
        </w:rPr>
        <w:t>税务部门正式发票进行结算。</w:t>
      </w:r>
    </w:p>
    <w:p w14:paraId="1BD15BFC">
      <w:pPr>
        <w:pStyle w:val="235"/>
        <w:spacing w:line="480" w:lineRule="exact"/>
        <w:ind w:firstLine="240"/>
        <w:rPr>
          <w:rStyle w:val="186"/>
          <w:rFonts w:ascii="宋体" w:hAnsi="宋体" w:cs="宋体"/>
          <w:color w:val="000000"/>
          <w:sz w:val="24"/>
        </w:rPr>
      </w:pPr>
      <w:r>
        <w:rPr>
          <w:rStyle w:val="186"/>
          <w:rFonts w:hint="eastAsia" w:ascii="宋体" w:hAnsi="宋体" w:cs="宋体"/>
          <w:color w:val="000000"/>
          <w:sz w:val="24"/>
        </w:rPr>
        <w:t xml:space="preserve">   中标人当季度考核支付金额=(考核实际得分)/100*（中标金额/4）；</w:t>
      </w:r>
    </w:p>
    <w:p w14:paraId="49C29B27">
      <w:pPr>
        <w:pStyle w:val="235"/>
        <w:spacing w:line="480" w:lineRule="exact"/>
        <w:ind w:firstLine="240"/>
        <w:rPr>
          <w:rStyle w:val="186"/>
          <w:rFonts w:ascii="宋体" w:hAnsi="宋体" w:cs="宋体"/>
          <w:color w:val="000000"/>
          <w:sz w:val="24"/>
        </w:rPr>
      </w:pPr>
      <w:r>
        <w:rPr>
          <w:rStyle w:val="186"/>
          <w:rFonts w:hint="eastAsia" w:ascii="宋体" w:hAnsi="宋体" w:cs="宋体"/>
          <w:color w:val="000000"/>
          <w:sz w:val="24"/>
        </w:rPr>
        <w:t>注：（1）中标金额/4 ：属于每个季度合同价付款金额；合同服务期内，如有增减，据实考核支付，总增量原则上不得超过本项目合同中标价的10%。</w:t>
      </w:r>
    </w:p>
    <w:p w14:paraId="49C70162">
      <w:pPr>
        <w:pStyle w:val="235"/>
        <w:tabs>
          <w:tab w:val="right" w:pos="9072"/>
        </w:tabs>
        <w:spacing w:line="480" w:lineRule="exact"/>
        <w:ind w:left="482"/>
        <w:rPr>
          <w:rStyle w:val="186"/>
          <w:rFonts w:ascii="宋体" w:hAnsi="宋体" w:cs="宋体"/>
          <w:color w:val="000000"/>
          <w:sz w:val="24"/>
        </w:rPr>
      </w:pPr>
      <w:r>
        <w:rPr>
          <w:rStyle w:val="186"/>
          <w:rFonts w:hint="eastAsia" w:ascii="宋体" w:hAnsi="宋体" w:cs="宋体"/>
          <w:color w:val="000000"/>
          <w:sz w:val="24"/>
          <w:highlight w:val="lightGray"/>
        </w:rPr>
        <w:t>（</w:t>
      </w:r>
      <w:r>
        <w:rPr>
          <w:rStyle w:val="186"/>
          <w:rFonts w:ascii="宋体" w:hAnsi="宋体" w:cs="宋体"/>
          <w:color w:val="000000"/>
          <w:sz w:val="24"/>
          <w:highlight w:val="lightGray"/>
        </w:rPr>
        <w:t>2</w:t>
      </w:r>
      <w:r>
        <w:rPr>
          <w:rStyle w:val="186"/>
          <w:rFonts w:hint="eastAsia" w:ascii="宋体" w:hAnsi="宋体" w:cs="宋体"/>
          <w:color w:val="000000"/>
          <w:sz w:val="24"/>
          <w:highlight w:val="lightGray"/>
        </w:rPr>
        <w:t>）</w:t>
      </w:r>
      <w:r>
        <w:rPr>
          <w:rStyle w:val="186"/>
          <w:rFonts w:hint="eastAsia" w:ascii="宋体" w:hAnsi="宋体" w:cs="宋体"/>
          <w:color w:val="000000"/>
          <w:sz w:val="24"/>
        </w:rPr>
        <w:t>当季考核得分在90分及以上的，不予扣款，全额支付当季服务费用。</w:t>
      </w:r>
      <w:r>
        <w:rPr>
          <w:rStyle w:val="186"/>
          <w:rFonts w:ascii="宋体" w:hAnsi="宋体" w:cs="宋体"/>
          <w:color w:val="000000"/>
          <w:sz w:val="24"/>
        </w:rPr>
        <w:tab/>
      </w:r>
    </w:p>
    <w:p w14:paraId="728CDAC0">
      <w:pPr>
        <w:pStyle w:val="244"/>
        <w:topLinePunct/>
        <w:spacing w:line="360" w:lineRule="auto"/>
        <w:ind w:firstLine="480" w:firstLineChars="200"/>
        <w:rPr>
          <w:rFonts w:ascii="宋体" w:hAnsi="宋体" w:cs="宋体"/>
          <w:kern w:val="2"/>
          <w:sz w:val="24"/>
          <w:szCs w:val="24"/>
        </w:rPr>
      </w:pPr>
      <w:r>
        <w:rPr>
          <w:rFonts w:hint="eastAsia" w:ascii="宋体" w:hAnsi="宋体" w:cs="宋体"/>
          <w:kern w:val="2"/>
          <w:sz w:val="24"/>
          <w:szCs w:val="24"/>
        </w:rPr>
        <w:t>3、服务期限：一年。</w:t>
      </w:r>
    </w:p>
    <w:p w14:paraId="1D1E229F">
      <w:pPr>
        <w:pStyle w:val="232"/>
        <w:numPr>
          <w:ilvl w:val="0"/>
          <w:numId w:val="6"/>
        </w:numPr>
        <w:spacing w:line="460" w:lineRule="exact"/>
        <w:ind w:firstLine="482"/>
        <w:outlineLvl w:val="1"/>
        <w:rPr>
          <w:rStyle w:val="186"/>
          <w:rFonts w:ascii="宋体" w:hAnsi="宋体" w:cs="宋体"/>
          <w:b/>
          <w:bCs/>
          <w:color w:val="000000"/>
          <w:sz w:val="24"/>
          <w:szCs w:val="24"/>
        </w:rPr>
      </w:pPr>
      <w:bookmarkStart w:id="69" w:name="_Toc7556"/>
      <w:r>
        <w:rPr>
          <w:rStyle w:val="186"/>
          <w:rFonts w:hint="eastAsia" w:ascii="宋体" w:hAnsi="宋体" w:cs="宋体"/>
          <w:b/>
          <w:bCs/>
          <w:color w:val="000000"/>
          <w:sz w:val="24"/>
          <w:szCs w:val="24"/>
        </w:rPr>
        <w:t>采购清单</w:t>
      </w:r>
      <w:bookmarkEnd w:id="69"/>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688"/>
        <w:gridCol w:w="1550"/>
        <w:gridCol w:w="1012"/>
        <w:gridCol w:w="825"/>
        <w:gridCol w:w="813"/>
        <w:gridCol w:w="962"/>
      </w:tblGrid>
      <w:tr w14:paraId="43D49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75" w:type="dxa"/>
          </w:tcPr>
          <w:p w14:paraId="2822EFED">
            <w:pPr>
              <w:pStyle w:val="233"/>
              <w:ind w:left="0"/>
              <w:jc w:val="center"/>
              <w:rPr>
                <w:rStyle w:val="186"/>
                <w:rFonts w:ascii="宋体" w:hAnsi="宋体" w:cs="宋体"/>
                <w:color w:val="000000"/>
                <w:sz w:val="24"/>
                <w:szCs w:val="24"/>
              </w:rPr>
            </w:pPr>
            <w:r>
              <w:rPr>
                <w:rStyle w:val="186"/>
                <w:rFonts w:hint="eastAsia" w:ascii="宋体" w:hAnsi="宋体" w:cs="宋体"/>
                <w:color w:val="000000"/>
                <w:sz w:val="24"/>
                <w:szCs w:val="24"/>
              </w:rPr>
              <w:t>序号</w:t>
            </w:r>
          </w:p>
        </w:tc>
        <w:tc>
          <w:tcPr>
            <w:tcW w:w="2688" w:type="dxa"/>
          </w:tcPr>
          <w:p w14:paraId="5F5B197C">
            <w:pPr>
              <w:pStyle w:val="233"/>
              <w:ind w:left="0" w:firstLine="480" w:firstLineChars="200"/>
              <w:rPr>
                <w:rStyle w:val="186"/>
                <w:rFonts w:ascii="宋体" w:hAnsi="宋体" w:cs="宋体"/>
                <w:color w:val="000000"/>
                <w:sz w:val="24"/>
                <w:szCs w:val="24"/>
              </w:rPr>
            </w:pPr>
            <w:r>
              <w:rPr>
                <w:rStyle w:val="186"/>
                <w:rFonts w:hint="eastAsia" w:ascii="宋体" w:hAnsi="宋体" w:cs="宋体"/>
                <w:color w:val="000000"/>
                <w:sz w:val="24"/>
                <w:szCs w:val="24"/>
              </w:rPr>
              <w:t>名称</w:t>
            </w:r>
          </w:p>
        </w:tc>
        <w:tc>
          <w:tcPr>
            <w:tcW w:w="1550" w:type="dxa"/>
          </w:tcPr>
          <w:p w14:paraId="44ED8157">
            <w:pPr>
              <w:pStyle w:val="233"/>
              <w:ind w:left="0"/>
              <w:jc w:val="center"/>
              <w:rPr>
                <w:rStyle w:val="186"/>
                <w:rFonts w:ascii="宋体" w:hAnsi="宋体" w:cs="宋体"/>
                <w:color w:val="000000"/>
                <w:sz w:val="24"/>
                <w:szCs w:val="24"/>
              </w:rPr>
            </w:pPr>
            <w:r>
              <w:rPr>
                <w:rStyle w:val="186"/>
                <w:rFonts w:hint="eastAsia" w:ascii="宋体" w:hAnsi="宋体" w:cs="宋体"/>
                <w:color w:val="000000"/>
                <w:sz w:val="24"/>
                <w:szCs w:val="24"/>
              </w:rPr>
              <w:t>服务期（年）</w:t>
            </w:r>
          </w:p>
        </w:tc>
        <w:tc>
          <w:tcPr>
            <w:tcW w:w="1012" w:type="dxa"/>
          </w:tcPr>
          <w:p w14:paraId="6687B188">
            <w:pPr>
              <w:pStyle w:val="233"/>
              <w:ind w:left="0"/>
              <w:jc w:val="center"/>
              <w:rPr>
                <w:rStyle w:val="186"/>
                <w:rFonts w:ascii="宋体" w:hAnsi="宋体" w:cs="宋体"/>
                <w:color w:val="000000"/>
                <w:sz w:val="24"/>
                <w:szCs w:val="24"/>
              </w:rPr>
            </w:pPr>
            <w:r>
              <w:rPr>
                <w:rStyle w:val="186"/>
                <w:rFonts w:hint="eastAsia" w:ascii="宋体" w:hAnsi="宋体" w:cs="宋体"/>
                <w:color w:val="000000"/>
                <w:sz w:val="24"/>
                <w:szCs w:val="24"/>
              </w:rPr>
              <w:t>单位</w:t>
            </w:r>
          </w:p>
        </w:tc>
        <w:tc>
          <w:tcPr>
            <w:tcW w:w="825" w:type="dxa"/>
          </w:tcPr>
          <w:p w14:paraId="7EB2A0D1">
            <w:pPr>
              <w:pStyle w:val="233"/>
              <w:ind w:left="0"/>
              <w:jc w:val="center"/>
              <w:rPr>
                <w:rStyle w:val="186"/>
                <w:rFonts w:ascii="宋体" w:hAnsi="宋体" w:cs="宋体"/>
                <w:color w:val="000000"/>
                <w:sz w:val="24"/>
                <w:szCs w:val="24"/>
              </w:rPr>
            </w:pPr>
            <w:r>
              <w:rPr>
                <w:rStyle w:val="186"/>
                <w:rFonts w:hint="eastAsia" w:ascii="宋体" w:hAnsi="宋体" w:cs="宋体"/>
                <w:color w:val="000000"/>
                <w:sz w:val="24"/>
                <w:szCs w:val="24"/>
              </w:rPr>
              <w:t>数量</w:t>
            </w:r>
          </w:p>
        </w:tc>
        <w:tc>
          <w:tcPr>
            <w:tcW w:w="813" w:type="dxa"/>
          </w:tcPr>
          <w:p w14:paraId="25D08024">
            <w:pPr>
              <w:pStyle w:val="233"/>
              <w:ind w:left="0"/>
              <w:rPr>
                <w:rStyle w:val="186"/>
                <w:rFonts w:ascii="宋体" w:hAnsi="宋体" w:cs="宋体"/>
                <w:color w:val="000000"/>
                <w:sz w:val="24"/>
                <w:szCs w:val="24"/>
              </w:rPr>
            </w:pPr>
            <w:r>
              <w:rPr>
                <w:rStyle w:val="186"/>
                <w:rFonts w:hint="eastAsia" w:ascii="宋体" w:hAnsi="宋体" w:cs="宋体"/>
                <w:color w:val="000000"/>
                <w:sz w:val="24"/>
                <w:szCs w:val="24"/>
              </w:rPr>
              <w:t>单价</w:t>
            </w:r>
          </w:p>
        </w:tc>
        <w:tc>
          <w:tcPr>
            <w:tcW w:w="962" w:type="dxa"/>
          </w:tcPr>
          <w:p w14:paraId="4AD0B5A0">
            <w:pPr>
              <w:pStyle w:val="233"/>
              <w:ind w:left="0" w:firstLine="240" w:firstLineChars="100"/>
              <w:rPr>
                <w:rStyle w:val="186"/>
                <w:rFonts w:ascii="宋体" w:hAnsi="宋体" w:cs="宋体"/>
                <w:color w:val="000000"/>
                <w:sz w:val="24"/>
                <w:szCs w:val="24"/>
              </w:rPr>
            </w:pPr>
            <w:r>
              <w:rPr>
                <w:rStyle w:val="186"/>
                <w:rFonts w:hint="eastAsia" w:ascii="宋体" w:hAnsi="宋体" w:cs="宋体"/>
                <w:color w:val="000000"/>
                <w:sz w:val="24"/>
                <w:szCs w:val="24"/>
              </w:rPr>
              <w:t>合价</w:t>
            </w:r>
          </w:p>
        </w:tc>
      </w:tr>
      <w:tr w14:paraId="0049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75" w:type="dxa"/>
          </w:tcPr>
          <w:p w14:paraId="4EE7A7F1">
            <w:pPr>
              <w:pStyle w:val="233"/>
              <w:ind w:left="0"/>
              <w:jc w:val="center"/>
              <w:rPr>
                <w:rStyle w:val="186"/>
                <w:rFonts w:ascii="宋体" w:hAnsi="宋体" w:cs="宋体"/>
                <w:color w:val="000000"/>
                <w:sz w:val="24"/>
                <w:szCs w:val="24"/>
              </w:rPr>
            </w:pPr>
            <w:r>
              <w:rPr>
                <w:rStyle w:val="186"/>
                <w:rFonts w:hint="eastAsia" w:ascii="宋体" w:hAnsi="宋体" w:cs="宋体"/>
                <w:color w:val="000000"/>
                <w:sz w:val="24"/>
                <w:szCs w:val="24"/>
              </w:rPr>
              <w:t>1</w:t>
            </w:r>
          </w:p>
        </w:tc>
        <w:tc>
          <w:tcPr>
            <w:tcW w:w="2688" w:type="dxa"/>
          </w:tcPr>
          <w:p w14:paraId="2822B50C">
            <w:pPr>
              <w:pStyle w:val="233"/>
              <w:ind w:left="0"/>
              <w:rPr>
                <w:rStyle w:val="186"/>
                <w:rFonts w:ascii="宋体" w:hAnsi="宋体" w:cs="宋体"/>
                <w:color w:val="000000"/>
                <w:sz w:val="24"/>
                <w:szCs w:val="24"/>
              </w:rPr>
            </w:pPr>
            <w:r>
              <w:rPr>
                <w:rStyle w:val="186"/>
                <w:rFonts w:hint="eastAsia" w:ascii="宋体" w:hAnsi="宋体" w:cs="宋体"/>
                <w:color w:val="000000"/>
                <w:sz w:val="24"/>
                <w:szCs w:val="24"/>
              </w:rPr>
              <w:t>龙河人民医院后勤服务</w:t>
            </w:r>
          </w:p>
        </w:tc>
        <w:tc>
          <w:tcPr>
            <w:tcW w:w="1550" w:type="dxa"/>
          </w:tcPr>
          <w:p w14:paraId="568867CC">
            <w:pPr>
              <w:pStyle w:val="233"/>
              <w:ind w:left="0"/>
              <w:jc w:val="center"/>
              <w:rPr>
                <w:rStyle w:val="186"/>
                <w:rFonts w:ascii="宋体" w:hAnsi="宋体" w:cs="宋体"/>
                <w:color w:val="000000"/>
                <w:sz w:val="24"/>
                <w:szCs w:val="24"/>
              </w:rPr>
            </w:pPr>
            <w:r>
              <w:rPr>
                <w:rStyle w:val="186"/>
                <w:rFonts w:hint="eastAsia" w:ascii="宋体" w:hAnsi="宋体" w:cs="宋体"/>
                <w:color w:val="000000"/>
                <w:sz w:val="24"/>
                <w:szCs w:val="24"/>
              </w:rPr>
              <w:t>1</w:t>
            </w:r>
          </w:p>
        </w:tc>
        <w:tc>
          <w:tcPr>
            <w:tcW w:w="1012" w:type="dxa"/>
          </w:tcPr>
          <w:p w14:paraId="4A02E02A">
            <w:pPr>
              <w:pStyle w:val="233"/>
              <w:ind w:left="0"/>
              <w:jc w:val="center"/>
              <w:rPr>
                <w:rStyle w:val="186"/>
                <w:rFonts w:ascii="宋体" w:hAnsi="宋体" w:cs="宋体"/>
                <w:color w:val="000000"/>
                <w:sz w:val="24"/>
                <w:szCs w:val="24"/>
              </w:rPr>
            </w:pPr>
            <w:r>
              <w:rPr>
                <w:rStyle w:val="186"/>
                <w:rFonts w:hint="eastAsia" w:ascii="宋体" w:hAnsi="宋体" w:cs="宋体"/>
                <w:color w:val="000000"/>
                <w:sz w:val="24"/>
                <w:szCs w:val="24"/>
              </w:rPr>
              <w:t>项</w:t>
            </w:r>
          </w:p>
        </w:tc>
        <w:tc>
          <w:tcPr>
            <w:tcW w:w="825" w:type="dxa"/>
          </w:tcPr>
          <w:p w14:paraId="6B5E8A0A">
            <w:pPr>
              <w:pStyle w:val="233"/>
              <w:ind w:left="0"/>
              <w:jc w:val="center"/>
              <w:rPr>
                <w:rStyle w:val="186"/>
                <w:rFonts w:ascii="宋体" w:hAnsi="宋体" w:cs="宋体"/>
                <w:color w:val="000000"/>
                <w:sz w:val="24"/>
                <w:szCs w:val="24"/>
              </w:rPr>
            </w:pPr>
            <w:r>
              <w:rPr>
                <w:rStyle w:val="186"/>
                <w:rFonts w:hint="eastAsia" w:ascii="宋体" w:hAnsi="宋体" w:cs="宋体"/>
                <w:color w:val="000000"/>
                <w:sz w:val="24"/>
                <w:szCs w:val="24"/>
              </w:rPr>
              <w:t>1</w:t>
            </w:r>
          </w:p>
        </w:tc>
        <w:tc>
          <w:tcPr>
            <w:tcW w:w="813" w:type="dxa"/>
          </w:tcPr>
          <w:p w14:paraId="24E29938">
            <w:pPr>
              <w:pStyle w:val="233"/>
              <w:rPr>
                <w:rStyle w:val="186"/>
                <w:rFonts w:ascii="宋体" w:hAnsi="宋体" w:cs="宋体"/>
                <w:color w:val="000000"/>
                <w:sz w:val="24"/>
                <w:szCs w:val="24"/>
              </w:rPr>
            </w:pPr>
          </w:p>
        </w:tc>
        <w:tc>
          <w:tcPr>
            <w:tcW w:w="962" w:type="dxa"/>
          </w:tcPr>
          <w:p w14:paraId="241CCF4A">
            <w:pPr>
              <w:pStyle w:val="233"/>
              <w:rPr>
                <w:rStyle w:val="186"/>
                <w:rFonts w:ascii="宋体" w:hAnsi="宋体" w:cs="宋体"/>
                <w:color w:val="000000"/>
                <w:sz w:val="24"/>
                <w:szCs w:val="24"/>
              </w:rPr>
            </w:pPr>
          </w:p>
        </w:tc>
      </w:tr>
    </w:tbl>
    <w:p w14:paraId="0D238D77">
      <w:pPr>
        <w:pStyle w:val="233"/>
        <w:ind w:left="0"/>
        <w:rPr>
          <w:rFonts w:ascii="宋体" w:hAnsi="宋体" w:cs="宋体"/>
        </w:rPr>
      </w:pPr>
    </w:p>
    <w:p w14:paraId="27F6C8FA">
      <w:pPr>
        <w:pStyle w:val="232"/>
        <w:numPr>
          <w:ilvl w:val="0"/>
          <w:numId w:val="6"/>
        </w:numPr>
        <w:spacing w:line="460" w:lineRule="exact"/>
        <w:ind w:firstLine="482"/>
        <w:outlineLvl w:val="1"/>
        <w:rPr>
          <w:rStyle w:val="186"/>
          <w:rFonts w:ascii="宋体" w:hAnsi="宋体" w:cs="宋体"/>
          <w:b/>
          <w:bCs/>
          <w:color w:val="000000"/>
          <w:sz w:val="24"/>
          <w:szCs w:val="24"/>
        </w:rPr>
      </w:pPr>
      <w:bookmarkStart w:id="70" w:name="_Toc13508"/>
      <w:r>
        <w:rPr>
          <w:rStyle w:val="186"/>
          <w:rFonts w:hint="eastAsia" w:ascii="宋体" w:hAnsi="宋体" w:cs="宋体"/>
          <w:b/>
          <w:bCs/>
          <w:color w:val="000000"/>
          <w:sz w:val="24"/>
          <w:szCs w:val="24"/>
        </w:rPr>
        <w:t>人员及设施配置清单</w:t>
      </w:r>
      <w:bookmarkEnd w:id="70"/>
    </w:p>
    <w:p w14:paraId="4188F042">
      <w:pPr>
        <w:pStyle w:val="232"/>
        <w:spacing w:line="440" w:lineRule="exact"/>
        <w:ind w:firstLine="480"/>
        <w:rPr>
          <w:rStyle w:val="186"/>
          <w:rFonts w:ascii="宋体" w:hAnsi="宋体" w:cs="宋体"/>
          <w:b/>
          <w:bCs/>
          <w:color w:val="000000"/>
          <w:sz w:val="24"/>
          <w:szCs w:val="24"/>
        </w:rPr>
      </w:pPr>
      <w:r>
        <w:rPr>
          <w:rStyle w:val="186"/>
          <w:rFonts w:hint="eastAsia" w:ascii="宋体" w:hAnsi="宋体" w:cs="宋体"/>
          <w:b/>
          <w:bCs/>
          <w:color w:val="000000"/>
          <w:sz w:val="24"/>
          <w:szCs w:val="24"/>
        </w:rPr>
        <w:t xml:space="preserve">（一）后勤服务人员岗位配置及要求 </w:t>
      </w:r>
    </w:p>
    <w:tbl>
      <w:tblPr>
        <w:tblStyle w:val="49"/>
        <w:tblW w:w="8994" w:type="dxa"/>
        <w:tblInd w:w="93" w:type="dxa"/>
        <w:tblLayout w:type="autofit"/>
        <w:tblCellMar>
          <w:top w:w="0" w:type="dxa"/>
          <w:left w:w="108" w:type="dxa"/>
          <w:bottom w:w="0" w:type="dxa"/>
          <w:right w:w="108" w:type="dxa"/>
        </w:tblCellMar>
      </w:tblPr>
      <w:tblGrid>
        <w:gridCol w:w="663"/>
        <w:gridCol w:w="885"/>
        <w:gridCol w:w="1714"/>
        <w:gridCol w:w="887"/>
        <w:gridCol w:w="4845"/>
      </w:tblGrid>
      <w:tr w14:paraId="2A36955F">
        <w:tblPrEx>
          <w:tblCellMar>
            <w:top w:w="0" w:type="dxa"/>
            <w:left w:w="108" w:type="dxa"/>
            <w:bottom w:w="0" w:type="dxa"/>
            <w:right w:w="108" w:type="dxa"/>
          </w:tblCellMar>
        </w:tblPrEx>
        <w:trPr>
          <w:trHeight w:val="560" w:hRule="atLeast"/>
        </w:trPr>
        <w:tc>
          <w:tcPr>
            <w:tcW w:w="663" w:type="dxa"/>
            <w:tcBorders>
              <w:top w:val="single" w:color="000000" w:sz="8" w:space="0"/>
              <w:left w:val="single" w:color="000000" w:sz="8" w:space="0"/>
              <w:bottom w:val="single" w:color="000000" w:sz="8" w:space="0"/>
              <w:right w:val="single" w:color="000000" w:sz="4" w:space="0"/>
            </w:tcBorders>
            <w:vAlign w:val="center"/>
          </w:tcPr>
          <w:p w14:paraId="3D75EF94">
            <w:pPr>
              <w:widowControl/>
              <w:jc w:val="center"/>
              <w:textAlignment w:val="center"/>
              <w:rPr>
                <w:rFonts w:ascii="宋体" w:hAnsi="宋体" w:cs="宋体"/>
                <w:b/>
                <w:bCs/>
                <w:color w:val="000000"/>
                <w:sz w:val="22"/>
                <w:szCs w:val="22"/>
              </w:rPr>
            </w:pPr>
            <w:r>
              <w:rPr>
                <w:rStyle w:val="245"/>
                <w:rFonts w:hint="default"/>
                <w:sz w:val="22"/>
                <w:szCs w:val="22"/>
                <w:lang w:bidi="ar"/>
              </w:rPr>
              <w:t>序号</w:t>
            </w:r>
          </w:p>
        </w:tc>
        <w:tc>
          <w:tcPr>
            <w:tcW w:w="885" w:type="dxa"/>
            <w:tcBorders>
              <w:top w:val="single" w:color="000000" w:sz="8" w:space="0"/>
              <w:left w:val="single" w:color="000000" w:sz="4" w:space="0"/>
              <w:bottom w:val="single" w:color="000000" w:sz="8" w:space="0"/>
              <w:right w:val="single" w:color="000000" w:sz="4" w:space="0"/>
            </w:tcBorders>
            <w:vAlign w:val="center"/>
          </w:tcPr>
          <w:p w14:paraId="7074C998">
            <w:pPr>
              <w:widowControl/>
              <w:jc w:val="center"/>
              <w:textAlignment w:val="center"/>
              <w:rPr>
                <w:rFonts w:ascii="宋体" w:hAnsi="宋体" w:cs="宋体"/>
                <w:b/>
                <w:bCs/>
                <w:color w:val="000000"/>
                <w:sz w:val="22"/>
                <w:szCs w:val="22"/>
              </w:rPr>
            </w:pPr>
            <w:r>
              <w:rPr>
                <w:rStyle w:val="245"/>
                <w:rFonts w:hint="default"/>
                <w:sz w:val="22"/>
                <w:szCs w:val="22"/>
                <w:lang w:bidi="ar"/>
              </w:rPr>
              <w:t>岗位</w:t>
            </w:r>
          </w:p>
        </w:tc>
        <w:tc>
          <w:tcPr>
            <w:tcW w:w="1714" w:type="dxa"/>
            <w:tcBorders>
              <w:top w:val="single" w:color="000000" w:sz="8" w:space="0"/>
              <w:left w:val="single" w:color="000000" w:sz="4" w:space="0"/>
              <w:bottom w:val="single" w:color="000000" w:sz="8" w:space="0"/>
              <w:right w:val="single" w:color="000000" w:sz="4" w:space="0"/>
            </w:tcBorders>
            <w:vAlign w:val="center"/>
          </w:tcPr>
          <w:p w14:paraId="4B66BB56">
            <w:pPr>
              <w:widowControl/>
              <w:jc w:val="center"/>
              <w:textAlignment w:val="center"/>
              <w:rPr>
                <w:rFonts w:ascii="宋体" w:hAnsi="宋体" w:cs="宋体"/>
                <w:b/>
                <w:bCs/>
                <w:color w:val="000000"/>
                <w:sz w:val="22"/>
                <w:szCs w:val="22"/>
              </w:rPr>
            </w:pPr>
            <w:r>
              <w:rPr>
                <w:rStyle w:val="245"/>
                <w:rFonts w:hint="default"/>
                <w:sz w:val="22"/>
                <w:szCs w:val="22"/>
                <w:lang w:bidi="ar"/>
              </w:rPr>
              <w:t>区域/功能</w:t>
            </w:r>
          </w:p>
        </w:tc>
        <w:tc>
          <w:tcPr>
            <w:tcW w:w="887" w:type="dxa"/>
            <w:tcBorders>
              <w:top w:val="single" w:color="000000" w:sz="8" w:space="0"/>
              <w:left w:val="single" w:color="000000" w:sz="4" w:space="0"/>
              <w:bottom w:val="nil"/>
              <w:right w:val="single" w:color="000000" w:sz="4" w:space="0"/>
            </w:tcBorders>
            <w:vAlign w:val="center"/>
          </w:tcPr>
          <w:p w14:paraId="3F2DBA78">
            <w:pPr>
              <w:widowControl/>
              <w:jc w:val="center"/>
              <w:textAlignment w:val="center"/>
              <w:rPr>
                <w:rFonts w:ascii="宋体" w:hAnsi="宋体" w:cs="宋体"/>
                <w:b/>
                <w:bCs/>
                <w:color w:val="000000"/>
                <w:sz w:val="22"/>
                <w:szCs w:val="22"/>
              </w:rPr>
            </w:pPr>
            <w:r>
              <w:rPr>
                <w:rStyle w:val="245"/>
                <w:rFonts w:hint="default"/>
                <w:sz w:val="22"/>
                <w:szCs w:val="22"/>
                <w:lang w:bidi="ar"/>
              </w:rPr>
              <w:t>配置</w:t>
            </w:r>
          </w:p>
        </w:tc>
        <w:tc>
          <w:tcPr>
            <w:tcW w:w="4845" w:type="dxa"/>
            <w:tcBorders>
              <w:top w:val="single" w:color="000000" w:sz="8" w:space="0"/>
              <w:left w:val="single" w:color="000000" w:sz="4" w:space="0"/>
              <w:bottom w:val="single" w:color="000000" w:sz="8" w:space="0"/>
              <w:right w:val="single" w:color="000000" w:sz="8" w:space="0"/>
            </w:tcBorders>
            <w:vAlign w:val="center"/>
          </w:tcPr>
          <w:p w14:paraId="58575A78">
            <w:pPr>
              <w:widowControl/>
              <w:jc w:val="center"/>
              <w:textAlignment w:val="center"/>
              <w:rPr>
                <w:rFonts w:ascii="宋体" w:hAnsi="宋体" w:cs="宋体"/>
                <w:b/>
                <w:bCs/>
                <w:color w:val="000000"/>
                <w:sz w:val="22"/>
                <w:szCs w:val="22"/>
              </w:rPr>
            </w:pPr>
            <w:r>
              <w:rPr>
                <w:rStyle w:val="245"/>
                <w:rFonts w:hint="default"/>
                <w:sz w:val="22"/>
                <w:szCs w:val="22"/>
                <w:lang w:bidi="ar"/>
              </w:rPr>
              <w:t>具体要求</w:t>
            </w:r>
          </w:p>
        </w:tc>
      </w:tr>
      <w:tr w14:paraId="56F1EEAF">
        <w:tblPrEx>
          <w:tblCellMar>
            <w:top w:w="0" w:type="dxa"/>
            <w:left w:w="108" w:type="dxa"/>
            <w:bottom w:w="0" w:type="dxa"/>
            <w:right w:w="108" w:type="dxa"/>
          </w:tblCellMar>
        </w:tblPrEx>
        <w:trPr>
          <w:trHeight w:val="831" w:hRule="atLeast"/>
        </w:trPr>
        <w:tc>
          <w:tcPr>
            <w:tcW w:w="663" w:type="dxa"/>
            <w:tcBorders>
              <w:top w:val="nil"/>
              <w:left w:val="single" w:color="000000" w:sz="8" w:space="0"/>
              <w:bottom w:val="single" w:color="auto" w:sz="4" w:space="0"/>
              <w:right w:val="single" w:color="000000" w:sz="8" w:space="0"/>
            </w:tcBorders>
            <w:vAlign w:val="center"/>
          </w:tcPr>
          <w:p w14:paraId="0B0D26F2">
            <w:pPr>
              <w:widowControl/>
              <w:spacing w:line="32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885" w:type="dxa"/>
            <w:tcBorders>
              <w:top w:val="nil"/>
              <w:left w:val="nil"/>
              <w:bottom w:val="single" w:color="auto" w:sz="4" w:space="0"/>
              <w:right w:val="nil"/>
            </w:tcBorders>
            <w:vAlign w:val="center"/>
          </w:tcPr>
          <w:p w14:paraId="129BC5B1">
            <w:pPr>
              <w:widowControl/>
              <w:spacing w:line="32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项目负责人</w:t>
            </w:r>
          </w:p>
        </w:tc>
        <w:tc>
          <w:tcPr>
            <w:tcW w:w="1714" w:type="dxa"/>
            <w:tcBorders>
              <w:top w:val="single" w:color="000000" w:sz="8" w:space="0"/>
              <w:left w:val="single" w:color="000000" w:sz="8" w:space="0"/>
              <w:bottom w:val="single" w:color="000000" w:sz="8" w:space="0"/>
              <w:right w:val="single" w:color="000000" w:sz="8" w:space="0"/>
            </w:tcBorders>
            <w:vAlign w:val="center"/>
          </w:tcPr>
          <w:p w14:paraId="7CFBDE7B">
            <w:pPr>
              <w:widowControl/>
              <w:spacing w:line="32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管理人员</w:t>
            </w:r>
          </w:p>
        </w:tc>
        <w:tc>
          <w:tcPr>
            <w:tcW w:w="887" w:type="dxa"/>
            <w:tcBorders>
              <w:top w:val="single" w:color="000000" w:sz="8" w:space="0"/>
              <w:left w:val="single" w:color="000000" w:sz="8" w:space="0"/>
              <w:bottom w:val="nil"/>
              <w:right w:val="single" w:color="000000" w:sz="8" w:space="0"/>
            </w:tcBorders>
            <w:vAlign w:val="center"/>
          </w:tcPr>
          <w:p w14:paraId="659303F3">
            <w:pPr>
              <w:widowControl/>
              <w:spacing w:line="320" w:lineRule="exact"/>
              <w:jc w:val="center"/>
              <w:textAlignment w:val="center"/>
              <w:rPr>
                <w:rFonts w:ascii="宋体" w:hAnsi="宋体" w:cs="宋体"/>
                <w:color w:val="000000"/>
                <w:sz w:val="20"/>
                <w:szCs w:val="20"/>
              </w:rPr>
            </w:pPr>
            <w:r>
              <w:rPr>
                <w:rStyle w:val="246"/>
                <w:rFonts w:hint="default"/>
                <w:sz w:val="20"/>
                <w:szCs w:val="20"/>
                <w:lang w:bidi="ar"/>
              </w:rPr>
              <w:t>1名</w:t>
            </w:r>
          </w:p>
        </w:tc>
        <w:tc>
          <w:tcPr>
            <w:tcW w:w="4845" w:type="dxa"/>
            <w:tcBorders>
              <w:top w:val="nil"/>
              <w:left w:val="nil"/>
              <w:bottom w:val="single" w:color="000000" w:sz="8" w:space="0"/>
              <w:right w:val="single" w:color="000000" w:sz="8" w:space="0"/>
            </w:tcBorders>
            <w:vAlign w:val="center"/>
          </w:tcPr>
          <w:p w14:paraId="540B7770">
            <w:pPr>
              <w:widowControl/>
              <w:spacing w:line="320" w:lineRule="exact"/>
              <w:textAlignment w:val="center"/>
              <w:rPr>
                <w:rFonts w:ascii="宋体" w:hAnsi="宋体" w:cs="宋体"/>
                <w:color w:val="000000"/>
                <w:sz w:val="20"/>
                <w:szCs w:val="20"/>
              </w:rPr>
            </w:pPr>
            <w:r>
              <w:rPr>
                <w:rFonts w:hint="eastAsia" w:ascii="宋体" w:hAnsi="宋体" w:cs="宋体"/>
                <w:color w:val="000000"/>
                <w:kern w:val="0"/>
                <w:sz w:val="20"/>
                <w:szCs w:val="20"/>
                <w:lang w:bidi="ar"/>
              </w:rPr>
              <w:t>1人岗，每周工作6天，周六日轮流休息；负责整个项目日常运行。（包括项目人资招聘、物资采购、资料汇总、品控宣导、会务服务等行政工作）。</w:t>
            </w:r>
          </w:p>
        </w:tc>
      </w:tr>
      <w:tr w14:paraId="72223DDF">
        <w:tblPrEx>
          <w:tblCellMar>
            <w:top w:w="0" w:type="dxa"/>
            <w:left w:w="108" w:type="dxa"/>
            <w:bottom w:w="0" w:type="dxa"/>
            <w:right w:w="108" w:type="dxa"/>
          </w:tblCellMar>
        </w:tblPrEx>
        <w:trPr>
          <w:trHeight w:val="415" w:hRule="atLeast"/>
        </w:trPr>
        <w:tc>
          <w:tcPr>
            <w:tcW w:w="663" w:type="dxa"/>
            <w:tcBorders>
              <w:top w:val="single" w:color="auto" w:sz="4" w:space="0"/>
              <w:left w:val="single" w:color="000000" w:sz="8" w:space="0"/>
              <w:bottom w:val="single" w:color="000000" w:sz="8" w:space="0"/>
              <w:right w:val="single" w:color="000000" w:sz="8" w:space="0"/>
            </w:tcBorders>
            <w:vAlign w:val="center"/>
          </w:tcPr>
          <w:p w14:paraId="1A5E981A">
            <w:pPr>
              <w:widowControl/>
              <w:spacing w:line="320" w:lineRule="exact"/>
              <w:jc w:val="center"/>
              <w:textAlignment w:val="center"/>
              <w:rPr>
                <w:rFonts w:ascii="宋体" w:hAnsi="宋体" w:cs="宋体"/>
                <w:color w:val="000000"/>
                <w:sz w:val="20"/>
                <w:szCs w:val="20"/>
              </w:rPr>
            </w:pPr>
            <w:r>
              <w:rPr>
                <w:rFonts w:hint="eastAsia" w:ascii="宋体" w:hAnsi="宋体" w:cs="宋体"/>
                <w:color w:val="000000"/>
                <w:sz w:val="20"/>
                <w:szCs w:val="20"/>
              </w:rPr>
              <w:t>2</w:t>
            </w:r>
          </w:p>
        </w:tc>
        <w:tc>
          <w:tcPr>
            <w:tcW w:w="885" w:type="dxa"/>
            <w:vMerge w:val="restart"/>
            <w:tcBorders>
              <w:top w:val="single" w:color="auto" w:sz="4" w:space="0"/>
              <w:left w:val="nil"/>
              <w:bottom w:val="single" w:color="000000" w:sz="8" w:space="0"/>
              <w:right w:val="single" w:color="000000" w:sz="8" w:space="0"/>
            </w:tcBorders>
            <w:vAlign w:val="center"/>
          </w:tcPr>
          <w:p w14:paraId="39FDDFD5">
            <w:pPr>
              <w:widowControl/>
              <w:spacing w:line="320" w:lineRule="exact"/>
              <w:jc w:val="center"/>
              <w:textAlignment w:val="center"/>
              <w:rPr>
                <w:rFonts w:ascii="宋体" w:hAnsi="宋体" w:cs="宋体"/>
                <w:color w:val="000000"/>
                <w:sz w:val="20"/>
                <w:szCs w:val="20"/>
              </w:rPr>
            </w:pPr>
            <w:r>
              <w:rPr>
                <w:rStyle w:val="246"/>
                <w:rFonts w:hint="default"/>
                <w:sz w:val="20"/>
                <w:szCs w:val="20"/>
                <w:lang w:bidi="ar"/>
              </w:rPr>
              <w:t>保洁</w:t>
            </w:r>
          </w:p>
        </w:tc>
        <w:tc>
          <w:tcPr>
            <w:tcW w:w="1714" w:type="dxa"/>
            <w:tcBorders>
              <w:top w:val="nil"/>
              <w:left w:val="nil"/>
              <w:bottom w:val="single" w:color="000000" w:sz="8" w:space="0"/>
              <w:right w:val="nil"/>
            </w:tcBorders>
            <w:vAlign w:val="center"/>
          </w:tcPr>
          <w:p w14:paraId="5B80C5AB">
            <w:pPr>
              <w:widowControl/>
              <w:spacing w:line="320" w:lineRule="exact"/>
              <w:textAlignment w:val="center"/>
              <w:rPr>
                <w:rFonts w:ascii="宋体" w:hAnsi="宋体" w:cs="宋体"/>
                <w:color w:val="000000"/>
                <w:sz w:val="20"/>
                <w:szCs w:val="20"/>
              </w:rPr>
            </w:pPr>
            <w:r>
              <w:rPr>
                <w:rStyle w:val="246"/>
                <w:rFonts w:hint="default"/>
                <w:sz w:val="20"/>
                <w:szCs w:val="20"/>
                <w:lang w:bidi="ar"/>
              </w:rPr>
              <w:t>门诊1—3F</w:t>
            </w:r>
          </w:p>
        </w:tc>
        <w:tc>
          <w:tcPr>
            <w:tcW w:w="887" w:type="dxa"/>
            <w:vMerge w:val="restart"/>
            <w:tcBorders>
              <w:top w:val="single" w:color="000000" w:sz="4" w:space="0"/>
              <w:left w:val="single" w:color="000000" w:sz="4" w:space="0"/>
              <w:bottom w:val="single" w:color="000000" w:sz="4" w:space="0"/>
              <w:right w:val="single" w:color="000000" w:sz="4" w:space="0"/>
            </w:tcBorders>
            <w:vAlign w:val="center"/>
          </w:tcPr>
          <w:p w14:paraId="762C2269">
            <w:pPr>
              <w:widowControl/>
              <w:spacing w:line="32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12名</w:t>
            </w:r>
          </w:p>
        </w:tc>
        <w:tc>
          <w:tcPr>
            <w:tcW w:w="4845" w:type="dxa"/>
            <w:tcBorders>
              <w:top w:val="nil"/>
              <w:left w:val="nil"/>
              <w:bottom w:val="nil"/>
              <w:right w:val="single" w:color="000000" w:sz="8" w:space="0"/>
            </w:tcBorders>
            <w:vAlign w:val="center"/>
          </w:tcPr>
          <w:p w14:paraId="16310890">
            <w:pPr>
              <w:widowControl/>
              <w:spacing w:line="320" w:lineRule="exact"/>
              <w:textAlignment w:val="center"/>
              <w:rPr>
                <w:rFonts w:ascii="宋体" w:hAnsi="宋体" w:cs="宋体"/>
                <w:color w:val="000000"/>
                <w:sz w:val="20"/>
                <w:szCs w:val="20"/>
              </w:rPr>
            </w:pPr>
            <w:r>
              <w:rPr>
                <w:rFonts w:hint="eastAsia" w:ascii="宋体" w:hAnsi="宋体" w:cs="宋体"/>
                <w:color w:val="000000"/>
                <w:kern w:val="0"/>
                <w:sz w:val="20"/>
                <w:szCs w:val="20"/>
                <w:lang w:bidi="ar"/>
              </w:rPr>
              <w:t>按实际情况分配人员数量。</w:t>
            </w:r>
          </w:p>
        </w:tc>
      </w:tr>
      <w:tr w14:paraId="546E9EBF">
        <w:tblPrEx>
          <w:tblCellMar>
            <w:top w:w="0" w:type="dxa"/>
            <w:left w:w="108" w:type="dxa"/>
            <w:bottom w:w="0" w:type="dxa"/>
            <w:right w:w="108" w:type="dxa"/>
          </w:tblCellMar>
        </w:tblPrEx>
        <w:trPr>
          <w:trHeight w:val="503" w:hRule="atLeast"/>
        </w:trPr>
        <w:tc>
          <w:tcPr>
            <w:tcW w:w="663" w:type="dxa"/>
            <w:tcBorders>
              <w:top w:val="nil"/>
              <w:left w:val="single" w:color="000000" w:sz="8" w:space="0"/>
              <w:bottom w:val="single" w:color="000000" w:sz="8" w:space="0"/>
              <w:right w:val="single" w:color="000000" w:sz="8" w:space="0"/>
            </w:tcBorders>
            <w:vAlign w:val="center"/>
          </w:tcPr>
          <w:p w14:paraId="26AC91BE">
            <w:pPr>
              <w:widowControl/>
              <w:spacing w:line="320" w:lineRule="exact"/>
              <w:jc w:val="center"/>
              <w:textAlignment w:val="center"/>
              <w:rPr>
                <w:rFonts w:ascii="宋体" w:hAnsi="宋体" w:cs="宋体"/>
                <w:color w:val="000000"/>
                <w:sz w:val="20"/>
                <w:szCs w:val="20"/>
              </w:rPr>
            </w:pPr>
            <w:r>
              <w:rPr>
                <w:rFonts w:hint="eastAsia" w:ascii="宋体" w:hAnsi="宋体" w:cs="宋体"/>
                <w:color w:val="000000"/>
                <w:sz w:val="20"/>
                <w:szCs w:val="20"/>
              </w:rPr>
              <w:t>3</w:t>
            </w:r>
          </w:p>
        </w:tc>
        <w:tc>
          <w:tcPr>
            <w:tcW w:w="885" w:type="dxa"/>
            <w:vMerge w:val="continue"/>
            <w:tcBorders>
              <w:top w:val="nil"/>
              <w:left w:val="nil"/>
              <w:bottom w:val="single" w:color="000000" w:sz="8" w:space="0"/>
              <w:right w:val="single" w:color="000000" w:sz="8" w:space="0"/>
            </w:tcBorders>
            <w:vAlign w:val="center"/>
          </w:tcPr>
          <w:p w14:paraId="455FF812">
            <w:pPr>
              <w:widowControl/>
              <w:spacing w:line="320" w:lineRule="exact"/>
              <w:jc w:val="center"/>
              <w:rPr>
                <w:rFonts w:ascii="宋体" w:hAnsi="宋体" w:cs="宋体"/>
                <w:color w:val="000000"/>
                <w:sz w:val="20"/>
                <w:szCs w:val="20"/>
              </w:rPr>
            </w:pPr>
          </w:p>
        </w:tc>
        <w:tc>
          <w:tcPr>
            <w:tcW w:w="1714" w:type="dxa"/>
            <w:tcBorders>
              <w:top w:val="nil"/>
              <w:left w:val="nil"/>
              <w:bottom w:val="single" w:color="000000" w:sz="8" w:space="0"/>
              <w:right w:val="nil"/>
            </w:tcBorders>
            <w:vAlign w:val="center"/>
          </w:tcPr>
          <w:p w14:paraId="0DBCA069">
            <w:pPr>
              <w:widowControl/>
              <w:spacing w:line="320" w:lineRule="exact"/>
              <w:textAlignment w:val="center"/>
              <w:rPr>
                <w:rFonts w:ascii="宋体" w:hAnsi="宋体" w:cs="宋体"/>
                <w:color w:val="000000"/>
                <w:sz w:val="20"/>
                <w:szCs w:val="20"/>
              </w:rPr>
            </w:pPr>
            <w:r>
              <w:rPr>
                <w:rStyle w:val="246"/>
                <w:rFonts w:hint="default"/>
                <w:sz w:val="20"/>
                <w:szCs w:val="20"/>
                <w:lang w:bidi="ar"/>
              </w:rPr>
              <w:t>急诊1F及2F功能检查区</w:t>
            </w:r>
          </w:p>
        </w:tc>
        <w:tc>
          <w:tcPr>
            <w:tcW w:w="887" w:type="dxa"/>
            <w:vMerge w:val="continue"/>
            <w:tcBorders>
              <w:top w:val="single" w:color="000000" w:sz="4" w:space="0"/>
              <w:left w:val="single" w:color="000000" w:sz="4" w:space="0"/>
              <w:bottom w:val="single" w:color="000000" w:sz="4" w:space="0"/>
              <w:right w:val="single" w:color="000000" w:sz="4" w:space="0"/>
            </w:tcBorders>
            <w:vAlign w:val="center"/>
          </w:tcPr>
          <w:p w14:paraId="186295C4">
            <w:pPr>
              <w:widowControl/>
              <w:spacing w:line="320" w:lineRule="exact"/>
              <w:jc w:val="center"/>
              <w:rPr>
                <w:rFonts w:ascii="宋体" w:hAnsi="宋体" w:cs="宋体"/>
                <w:color w:val="000000"/>
                <w:sz w:val="20"/>
                <w:szCs w:val="20"/>
              </w:rPr>
            </w:pPr>
          </w:p>
        </w:tc>
        <w:tc>
          <w:tcPr>
            <w:tcW w:w="4845" w:type="dxa"/>
            <w:tcBorders>
              <w:top w:val="single" w:color="000000" w:sz="8" w:space="0"/>
              <w:left w:val="nil"/>
              <w:bottom w:val="single" w:color="000000" w:sz="8" w:space="0"/>
              <w:right w:val="single" w:color="000000" w:sz="8" w:space="0"/>
            </w:tcBorders>
            <w:vAlign w:val="center"/>
          </w:tcPr>
          <w:p w14:paraId="19184DD5">
            <w:pPr>
              <w:widowControl/>
              <w:spacing w:line="32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按实际情况分配人员数量。</w:t>
            </w:r>
          </w:p>
        </w:tc>
      </w:tr>
      <w:tr w14:paraId="6A40BAB6">
        <w:tblPrEx>
          <w:tblCellMar>
            <w:top w:w="0" w:type="dxa"/>
            <w:left w:w="108" w:type="dxa"/>
            <w:bottom w:w="0" w:type="dxa"/>
            <w:right w:w="108" w:type="dxa"/>
          </w:tblCellMar>
        </w:tblPrEx>
        <w:trPr>
          <w:trHeight w:val="425" w:hRule="atLeast"/>
        </w:trPr>
        <w:tc>
          <w:tcPr>
            <w:tcW w:w="663" w:type="dxa"/>
            <w:tcBorders>
              <w:top w:val="nil"/>
              <w:left w:val="single" w:color="000000" w:sz="8" w:space="0"/>
              <w:bottom w:val="single" w:color="000000" w:sz="8" w:space="0"/>
              <w:right w:val="single" w:color="000000" w:sz="8" w:space="0"/>
            </w:tcBorders>
            <w:vAlign w:val="center"/>
          </w:tcPr>
          <w:p w14:paraId="32CCF255">
            <w:pPr>
              <w:widowControl/>
              <w:spacing w:line="32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885" w:type="dxa"/>
            <w:vMerge w:val="continue"/>
            <w:tcBorders>
              <w:top w:val="nil"/>
              <w:left w:val="nil"/>
              <w:bottom w:val="single" w:color="000000" w:sz="8" w:space="0"/>
              <w:right w:val="single" w:color="000000" w:sz="8" w:space="0"/>
            </w:tcBorders>
            <w:vAlign w:val="center"/>
          </w:tcPr>
          <w:p w14:paraId="7B7984C3">
            <w:pPr>
              <w:widowControl/>
              <w:spacing w:line="320" w:lineRule="exact"/>
              <w:jc w:val="center"/>
              <w:rPr>
                <w:rFonts w:ascii="宋体" w:hAnsi="宋体" w:cs="宋体"/>
                <w:color w:val="000000"/>
                <w:sz w:val="20"/>
                <w:szCs w:val="20"/>
              </w:rPr>
            </w:pPr>
          </w:p>
        </w:tc>
        <w:tc>
          <w:tcPr>
            <w:tcW w:w="1714" w:type="dxa"/>
            <w:tcBorders>
              <w:top w:val="nil"/>
              <w:left w:val="nil"/>
              <w:bottom w:val="nil"/>
              <w:right w:val="nil"/>
            </w:tcBorders>
            <w:vAlign w:val="center"/>
          </w:tcPr>
          <w:p w14:paraId="7FE71D87">
            <w:pPr>
              <w:widowControl/>
              <w:spacing w:line="320" w:lineRule="exact"/>
              <w:textAlignment w:val="center"/>
              <w:rPr>
                <w:rFonts w:ascii="宋体" w:hAnsi="宋体" w:cs="宋体"/>
                <w:color w:val="000000"/>
                <w:sz w:val="20"/>
                <w:szCs w:val="20"/>
              </w:rPr>
            </w:pPr>
            <w:r>
              <w:rPr>
                <w:rFonts w:hint="eastAsia" w:ascii="宋体" w:hAnsi="宋体" w:cs="宋体"/>
                <w:color w:val="000000"/>
                <w:kern w:val="0"/>
                <w:sz w:val="20"/>
                <w:szCs w:val="20"/>
                <w:lang w:bidi="ar"/>
              </w:rPr>
              <w:t>门诊4F（含会务）</w:t>
            </w:r>
          </w:p>
        </w:tc>
        <w:tc>
          <w:tcPr>
            <w:tcW w:w="887" w:type="dxa"/>
            <w:vMerge w:val="continue"/>
            <w:tcBorders>
              <w:top w:val="single" w:color="000000" w:sz="4" w:space="0"/>
              <w:left w:val="single" w:color="000000" w:sz="4" w:space="0"/>
              <w:bottom w:val="single" w:color="000000" w:sz="4" w:space="0"/>
              <w:right w:val="single" w:color="000000" w:sz="4" w:space="0"/>
            </w:tcBorders>
            <w:vAlign w:val="center"/>
          </w:tcPr>
          <w:p w14:paraId="6064CB70">
            <w:pPr>
              <w:widowControl/>
              <w:spacing w:line="320" w:lineRule="exact"/>
              <w:jc w:val="center"/>
              <w:rPr>
                <w:rFonts w:ascii="宋体" w:hAnsi="宋体" w:cs="宋体"/>
                <w:color w:val="000000"/>
                <w:sz w:val="20"/>
                <w:szCs w:val="20"/>
              </w:rPr>
            </w:pPr>
          </w:p>
        </w:tc>
        <w:tc>
          <w:tcPr>
            <w:tcW w:w="4845" w:type="dxa"/>
            <w:tcBorders>
              <w:top w:val="nil"/>
              <w:left w:val="nil"/>
              <w:bottom w:val="nil"/>
              <w:right w:val="single" w:color="000000" w:sz="8" w:space="0"/>
            </w:tcBorders>
            <w:vAlign w:val="center"/>
          </w:tcPr>
          <w:p w14:paraId="15DD6A39">
            <w:pPr>
              <w:widowControl/>
              <w:spacing w:line="32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按实际情况分配人员数量。</w:t>
            </w:r>
          </w:p>
        </w:tc>
      </w:tr>
      <w:tr w14:paraId="4A129B73">
        <w:tblPrEx>
          <w:tblCellMar>
            <w:top w:w="0" w:type="dxa"/>
            <w:left w:w="108" w:type="dxa"/>
            <w:bottom w:w="0" w:type="dxa"/>
            <w:right w:w="108" w:type="dxa"/>
          </w:tblCellMar>
        </w:tblPrEx>
        <w:trPr>
          <w:trHeight w:val="300" w:hRule="atLeast"/>
        </w:trPr>
        <w:tc>
          <w:tcPr>
            <w:tcW w:w="663" w:type="dxa"/>
            <w:tcBorders>
              <w:top w:val="nil"/>
              <w:left w:val="single" w:color="000000" w:sz="8" w:space="0"/>
              <w:bottom w:val="single" w:color="000000" w:sz="8" w:space="0"/>
              <w:right w:val="single" w:color="000000" w:sz="8" w:space="0"/>
            </w:tcBorders>
            <w:vAlign w:val="center"/>
          </w:tcPr>
          <w:p w14:paraId="5047C630">
            <w:pPr>
              <w:widowControl/>
              <w:spacing w:line="32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885" w:type="dxa"/>
            <w:vMerge w:val="continue"/>
            <w:tcBorders>
              <w:top w:val="nil"/>
              <w:left w:val="nil"/>
              <w:bottom w:val="single" w:color="000000" w:sz="8" w:space="0"/>
              <w:right w:val="single" w:color="000000" w:sz="8" w:space="0"/>
            </w:tcBorders>
            <w:vAlign w:val="center"/>
          </w:tcPr>
          <w:p w14:paraId="6C8AF2C1">
            <w:pPr>
              <w:widowControl/>
              <w:spacing w:line="320" w:lineRule="exact"/>
              <w:jc w:val="center"/>
              <w:rPr>
                <w:rFonts w:ascii="宋体" w:hAnsi="宋体" w:cs="宋体"/>
                <w:color w:val="000000"/>
                <w:sz w:val="20"/>
                <w:szCs w:val="20"/>
              </w:rPr>
            </w:pPr>
          </w:p>
        </w:tc>
        <w:tc>
          <w:tcPr>
            <w:tcW w:w="1714" w:type="dxa"/>
            <w:tcBorders>
              <w:top w:val="single" w:color="000000" w:sz="8" w:space="0"/>
              <w:left w:val="single" w:color="000000" w:sz="8" w:space="0"/>
              <w:bottom w:val="single" w:color="000000" w:sz="8" w:space="0"/>
              <w:right w:val="nil"/>
            </w:tcBorders>
            <w:vAlign w:val="center"/>
          </w:tcPr>
          <w:p w14:paraId="298FD5B8">
            <w:pPr>
              <w:widowControl/>
              <w:spacing w:line="320" w:lineRule="exact"/>
              <w:textAlignment w:val="center"/>
              <w:rPr>
                <w:rFonts w:ascii="宋体" w:hAnsi="宋体" w:cs="宋体"/>
                <w:color w:val="000000"/>
                <w:sz w:val="20"/>
                <w:szCs w:val="20"/>
              </w:rPr>
            </w:pPr>
            <w:r>
              <w:rPr>
                <w:rStyle w:val="246"/>
                <w:rFonts w:hint="default"/>
                <w:sz w:val="20"/>
                <w:szCs w:val="20"/>
                <w:lang w:bidi="ar"/>
              </w:rPr>
              <w:t>手术室</w:t>
            </w:r>
          </w:p>
        </w:tc>
        <w:tc>
          <w:tcPr>
            <w:tcW w:w="887" w:type="dxa"/>
            <w:vMerge w:val="continue"/>
            <w:tcBorders>
              <w:top w:val="single" w:color="000000" w:sz="4" w:space="0"/>
              <w:left w:val="single" w:color="000000" w:sz="4" w:space="0"/>
              <w:bottom w:val="single" w:color="000000" w:sz="4" w:space="0"/>
              <w:right w:val="single" w:color="000000" w:sz="4" w:space="0"/>
            </w:tcBorders>
            <w:vAlign w:val="center"/>
          </w:tcPr>
          <w:p w14:paraId="0E06B436">
            <w:pPr>
              <w:widowControl/>
              <w:spacing w:line="320" w:lineRule="exact"/>
              <w:jc w:val="center"/>
              <w:rPr>
                <w:rFonts w:ascii="宋体" w:hAnsi="宋体" w:cs="宋体"/>
                <w:color w:val="000000"/>
                <w:sz w:val="20"/>
                <w:szCs w:val="20"/>
              </w:rPr>
            </w:pPr>
          </w:p>
        </w:tc>
        <w:tc>
          <w:tcPr>
            <w:tcW w:w="4845" w:type="dxa"/>
            <w:tcBorders>
              <w:top w:val="single" w:color="000000" w:sz="8" w:space="0"/>
              <w:left w:val="nil"/>
              <w:bottom w:val="nil"/>
              <w:right w:val="single" w:color="000000" w:sz="8" w:space="0"/>
            </w:tcBorders>
            <w:vAlign w:val="center"/>
          </w:tcPr>
          <w:p w14:paraId="323C3038">
            <w:pPr>
              <w:widowControl/>
              <w:spacing w:line="320" w:lineRule="exact"/>
              <w:textAlignment w:val="center"/>
              <w:rPr>
                <w:rFonts w:ascii="宋体" w:hAnsi="宋体" w:cs="宋体"/>
                <w:color w:val="000000"/>
                <w:sz w:val="20"/>
                <w:szCs w:val="20"/>
              </w:rPr>
            </w:pPr>
            <w:r>
              <w:rPr>
                <w:rFonts w:hint="eastAsia" w:ascii="宋体" w:hAnsi="宋体" w:cs="宋体"/>
                <w:color w:val="000000"/>
                <w:kern w:val="0"/>
                <w:sz w:val="20"/>
                <w:szCs w:val="20"/>
                <w:lang w:bidi="ar"/>
              </w:rPr>
              <w:t>由驻守工勤负责</w:t>
            </w:r>
          </w:p>
        </w:tc>
      </w:tr>
      <w:tr w14:paraId="31E347E0">
        <w:tblPrEx>
          <w:tblCellMar>
            <w:top w:w="0" w:type="dxa"/>
            <w:left w:w="108" w:type="dxa"/>
            <w:bottom w:w="0" w:type="dxa"/>
            <w:right w:w="108" w:type="dxa"/>
          </w:tblCellMar>
        </w:tblPrEx>
        <w:trPr>
          <w:trHeight w:val="503" w:hRule="atLeast"/>
        </w:trPr>
        <w:tc>
          <w:tcPr>
            <w:tcW w:w="663" w:type="dxa"/>
            <w:tcBorders>
              <w:top w:val="nil"/>
              <w:left w:val="single" w:color="000000" w:sz="8" w:space="0"/>
              <w:bottom w:val="single" w:color="000000" w:sz="8" w:space="0"/>
              <w:right w:val="single" w:color="000000" w:sz="8" w:space="0"/>
            </w:tcBorders>
            <w:vAlign w:val="center"/>
          </w:tcPr>
          <w:p w14:paraId="46E27314">
            <w:pPr>
              <w:widowControl/>
              <w:spacing w:line="32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885" w:type="dxa"/>
            <w:vMerge w:val="continue"/>
            <w:tcBorders>
              <w:top w:val="nil"/>
              <w:left w:val="nil"/>
              <w:bottom w:val="single" w:color="000000" w:sz="8" w:space="0"/>
              <w:right w:val="single" w:color="000000" w:sz="8" w:space="0"/>
            </w:tcBorders>
            <w:vAlign w:val="center"/>
          </w:tcPr>
          <w:p w14:paraId="78659A1B">
            <w:pPr>
              <w:widowControl/>
              <w:spacing w:line="320" w:lineRule="exact"/>
              <w:jc w:val="center"/>
              <w:rPr>
                <w:rFonts w:ascii="宋体" w:hAnsi="宋体" w:cs="宋体"/>
                <w:color w:val="000000"/>
                <w:sz w:val="20"/>
                <w:szCs w:val="20"/>
              </w:rPr>
            </w:pPr>
          </w:p>
        </w:tc>
        <w:tc>
          <w:tcPr>
            <w:tcW w:w="1714" w:type="dxa"/>
            <w:tcBorders>
              <w:top w:val="single" w:color="000000" w:sz="8" w:space="0"/>
              <w:left w:val="single" w:color="000000" w:sz="8" w:space="0"/>
              <w:bottom w:val="single" w:color="000000" w:sz="8" w:space="0"/>
              <w:right w:val="nil"/>
            </w:tcBorders>
            <w:vAlign w:val="center"/>
          </w:tcPr>
          <w:p w14:paraId="6CD607D3">
            <w:pPr>
              <w:widowControl/>
              <w:spacing w:line="280" w:lineRule="exact"/>
              <w:textAlignment w:val="center"/>
              <w:rPr>
                <w:rFonts w:ascii="宋体" w:hAnsi="宋体" w:cs="宋体"/>
                <w:color w:val="000000"/>
                <w:sz w:val="20"/>
                <w:szCs w:val="20"/>
              </w:rPr>
            </w:pPr>
            <w:r>
              <w:rPr>
                <w:rFonts w:hint="eastAsia" w:ascii="宋体" w:hAnsi="宋体" w:cs="宋体"/>
                <w:color w:val="000000"/>
                <w:kern w:val="0"/>
                <w:sz w:val="20"/>
                <w:szCs w:val="20"/>
                <w:lang w:bidi="ar"/>
              </w:rPr>
              <w:t>儿保中心、儿保办公室</w:t>
            </w:r>
          </w:p>
        </w:tc>
        <w:tc>
          <w:tcPr>
            <w:tcW w:w="887" w:type="dxa"/>
            <w:vMerge w:val="continue"/>
            <w:tcBorders>
              <w:top w:val="single" w:color="000000" w:sz="4" w:space="0"/>
              <w:left w:val="single" w:color="000000" w:sz="4" w:space="0"/>
              <w:bottom w:val="single" w:color="000000" w:sz="4" w:space="0"/>
              <w:right w:val="single" w:color="000000" w:sz="4" w:space="0"/>
            </w:tcBorders>
            <w:vAlign w:val="center"/>
          </w:tcPr>
          <w:p w14:paraId="69F719F8">
            <w:pPr>
              <w:widowControl/>
              <w:spacing w:line="320" w:lineRule="exact"/>
              <w:jc w:val="center"/>
              <w:rPr>
                <w:rFonts w:ascii="宋体" w:hAnsi="宋体" w:cs="宋体"/>
                <w:color w:val="000000"/>
                <w:sz w:val="20"/>
                <w:szCs w:val="20"/>
              </w:rPr>
            </w:pPr>
          </w:p>
        </w:tc>
        <w:tc>
          <w:tcPr>
            <w:tcW w:w="4845" w:type="dxa"/>
            <w:tcBorders>
              <w:top w:val="single" w:color="000000" w:sz="8" w:space="0"/>
              <w:left w:val="nil"/>
              <w:bottom w:val="single" w:color="000000" w:sz="8" w:space="0"/>
              <w:right w:val="single" w:color="000000" w:sz="8" w:space="0"/>
            </w:tcBorders>
            <w:vAlign w:val="center"/>
          </w:tcPr>
          <w:p w14:paraId="47AC23B9">
            <w:pPr>
              <w:widowControl/>
              <w:spacing w:line="32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按实际情况分配人员数量。</w:t>
            </w:r>
          </w:p>
        </w:tc>
      </w:tr>
      <w:tr w14:paraId="4E113F03">
        <w:tblPrEx>
          <w:tblCellMar>
            <w:top w:w="0" w:type="dxa"/>
            <w:left w:w="108" w:type="dxa"/>
            <w:bottom w:w="0" w:type="dxa"/>
            <w:right w:w="108" w:type="dxa"/>
          </w:tblCellMar>
        </w:tblPrEx>
        <w:trPr>
          <w:trHeight w:val="325" w:hRule="atLeast"/>
        </w:trPr>
        <w:tc>
          <w:tcPr>
            <w:tcW w:w="663" w:type="dxa"/>
            <w:tcBorders>
              <w:top w:val="nil"/>
              <w:left w:val="single" w:color="000000" w:sz="8" w:space="0"/>
              <w:bottom w:val="single" w:color="000000" w:sz="8" w:space="0"/>
              <w:right w:val="single" w:color="000000" w:sz="8" w:space="0"/>
            </w:tcBorders>
            <w:vAlign w:val="center"/>
          </w:tcPr>
          <w:p w14:paraId="774923C7">
            <w:pPr>
              <w:widowControl/>
              <w:spacing w:line="32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885" w:type="dxa"/>
            <w:vMerge w:val="continue"/>
            <w:tcBorders>
              <w:top w:val="nil"/>
              <w:left w:val="nil"/>
              <w:bottom w:val="single" w:color="000000" w:sz="8" w:space="0"/>
              <w:right w:val="single" w:color="000000" w:sz="8" w:space="0"/>
            </w:tcBorders>
            <w:vAlign w:val="center"/>
          </w:tcPr>
          <w:p w14:paraId="4BEE8D77">
            <w:pPr>
              <w:widowControl/>
              <w:spacing w:line="320" w:lineRule="exact"/>
              <w:jc w:val="center"/>
              <w:rPr>
                <w:rFonts w:ascii="宋体" w:hAnsi="宋体" w:cs="宋体"/>
                <w:color w:val="000000"/>
                <w:sz w:val="20"/>
                <w:szCs w:val="20"/>
              </w:rPr>
            </w:pPr>
          </w:p>
        </w:tc>
        <w:tc>
          <w:tcPr>
            <w:tcW w:w="1714" w:type="dxa"/>
            <w:tcBorders>
              <w:top w:val="nil"/>
              <w:left w:val="nil"/>
              <w:bottom w:val="single" w:color="000000" w:sz="8" w:space="0"/>
              <w:right w:val="nil"/>
            </w:tcBorders>
            <w:vAlign w:val="center"/>
          </w:tcPr>
          <w:p w14:paraId="19B5F7F5">
            <w:pPr>
              <w:widowControl/>
              <w:spacing w:line="320" w:lineRule="exact"/>
              <w:textAlignment w:val="center"/>
              <w:rPr>
                <w:rFonts w:ascii="宋体" w:hAnsi="宋体" w:cs="宋体"/>
                <w:color w:val="000000"/>
                <w:sz w:val="20"/>
                <w:szCs w:val="20"/>
              </w:rPr>
            </w:pPr>
            <w:r>
              <w:rPr>
                <w:rStyle w:val="246"/>
                <w:rFonts w:hint="default"/>
                <w:sz w:val="20"/>
                <w:szCs w:val="20"/>
                <w:lang w:bidi="ar"/>
              </w:rPr>
              <w:t>住院1F</w:t>
            </w:r>
          </w:p>
        </w:tc>
        <w:tc>
          <w:tcPr>
            <w:tcW w:w="887" w:type="dxa"/>
            <w:vMerge w:val="continue"/>
            <w:tcBorders>
              <w:top w:val="single" w:color="000000" w:sz="4" w:space="0"/>
              <w:left w:val="single" w:color="000000" w:sz="4" w:space="0"/>
              <w:bottom w:val="single" w:color="000000" w:sz="4" w:space="0"/>
              <w:right w:val="single" w:color="000000" w:sz="4" w:space="0"/>
            </w:tcBorders>
            <w:vAlign w:val="center"/>
          </w:tcPr>
          <w:p w14:paraId="74F630CA">
            <w:pPr>
              <w:widowControl/>
              <w:spacing w:line="320" w:lineRule="exact"/>
              <w:jc w:val="center"/>
              <w:rPr>
                <w:rFonts w:ascii="宋体" w:hAnsi="宋体" w:cs="宋体"/>
                <w:color w:val="000000"/>
                <w:sz w:val="20"/>
                <w:szCs w:val="20"/>
              </w:rPr>
            </w:pPr>
          </w:p>
        </w:tc>
        <w:tc>
          <w:tcPr>
            <w:tcW w:w="4845" w:type="dxa"/>
            <w:tcBorders>
              <w:top w:val="single" w:color="000000" w:sz="8" w:space="0"/>
              <w:left w:val="nil"/>
              <w:bottom w:val="nil"/>
              <w:right w:val="single" w:color="000000" w:sz="8" w:space="0"/>
            </w:tcBorders>
            <w:vAlign w:val="center"/>
          </w:tcPr>
          <w:p w14:paraId="23BABDD4">
            <w:pPr>
              <w:widowControl/>
              <w:spacing w:line="32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按实际情况分配人员数量。</w:t>
            </w:r>
          </w:p>
        </w:tc>
      </w:tr>
      <w:tr w14:paraId="4FA83E30">
        <w:tblPrEx>
          <w:tblCellMar>
            <w:top w:w="0" w:type="dxa"/>
            <w:left w:w="108" w:type="dxa"/>
            <w:bottom w:w="0" w:type="dxa"/>
            <w:right w:w="108" w:type="dxa"/>
          </w:tblCellMar>
        </w:tblPrEx>
        <w:trPr>
          <w:trHeight w:val="312" w:hRule="atLeast"/>
        </w:trPr>
        <w:tc>
          <w:tcPr>
            <w:tcW w:w="663" w:type="dxa"/>
            <w:tcBorders>
              <w:top w:val="nil"/>
              <w:left w:val="single" w:color="000000" w:sz="8" w:space="0"/>
              <w:bottom w:val="single" w:color="000000" w:sz="8" w:space="0"/>
              <w:right w:val="single" w:color="000000" w:sz="8" w:space="0"/>
            </w:tcBorders>
            <w:vAlign w:val="center"/>
          </w:tcPr>
          <w:p w14:paraId="06AB3D7F">
            <w:pPr>
              <w:widowControl/>
              <w:spacing w:line="32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885" w:type="dxa"/>
            <w:vMerge w:val="continue"/>
            <w:tcBorders>
              <w:top w:val="nil"/>
              <w:left w:val="nil"/>
              <w:bottom w:val="single" w:color="000000" w:sz="8" w:space="0"/>
              <w:right w:val="single" w:color="000000" w:sz="8" w:space="0"/>
            </w:tcBorders>
            <w:vAlign w:val="center"/>
          </w:tcPr>
          <w:p w14:paraId="7262D7B9">
            <w:pPr>
              <w:widowControl/>
              <w:spacing w:line="320" w:lineRule="exact"/>
              <w:jc w:val="center"/>
              <w:rPr>
                <w:rFonts w:ascii="宋体" w:hAnsi="宋体" w:cs="宋体"/>
                <w:color w:val="000000"/>
                <w:sz w:val="20"/>
                <w:szCs w:val="20"/>
              </w:rPr>
            </w:pPr>
          </w:p>
        </w:tc>
        <w:tc>
          <w:tcPr>
            <w:tcW w:w="1714" w:type="dxa"/>
            <w:tcBorders>
              <w:top w:val="nil"/>
              <w:left w:val="nil"/>
              <w:bottom w:val="single" w:color="000000" w:sz="8" w:space="0"/>
              <w:right w:val="nil"/>
            </w:tcBorders>
            <w:vAlign w:val="center"/>
          </w:tcPr>
          <w:p w14:paraId="54FAC2F3">
            <w:pPr>
              <w:widowControl/>
              <w:spacing w:line="320" w:lineRule="exact"/>
              <w:textAlignment w:val="center"/>
              <w:rPr>
                <w:rFonts w:ascii="宋体" w:hAnsi="宋体" w:cs="宋体"/>
                <w:color w:val="000000"/>
                <w:sz w:val="20"/>
                <w:szCs w:val="20"/>
              </w:rPr>
            </w:pPr>
            <w:r>
              <w:rPr>
                <w:rStyle w:val="246"/>
                <w:rFonts w:hint="default"/>
                <w:sz w:val="20"/>
                <w:szCs w:val="20"/>
                <w:lang w:bidi="ar"/>
              </w:rPr>
              <w:t>住院2F</w:t>
            </w:r>
          </w:p>
        </w:tc>
        <w:tc>
          <w:tcPr>
            <w:tcW w:w="887" w:type="dxa"/>
            <w:vMerge w:val="continue"/>
            <w:tcBorders>
              <w:top w:val="single" w:color="000000" w:sz="4" w:space="0"/>
              <w:left w:val="single" w:color="000000" w:sz="4" w:space="0"/>
              <w:bottom w:val="single" w:color="000000" w:sz="4" w:space="0"/>
              <w:right w:val="single" w:color="000000" w:sz="4" w:space="0"/>
            </w:tcBorders>
            <w:vAlign w:val="center"/>
          </w:tcPr>
          <w:p w14:paraId="3315D01A">
            <w:pPr>
              <w:widowControl/>
              <w:spacing w:line="320" w:lineRule="exact"/>
              <w:jc w:val="center"/>
              <w:rPr>
                <w:rFonts w:ascii="宋体" w:hAnsi="宋体" w:cs="宋体"/>
                <w:color w:val="000000"/>
                <w:sz w:val="20"/>
                <w:szCs w:val="20"/>
              </w:rPr>
            </w:pPr>
          </w:p>
        </w:tc>
        <w:tc>
          <w:tcPr>
            <w:tcW w:w="4845" w:type="dxa"/>
            <w:tcBorders>
              <w:top w:val="single" w:color="000000" w:sz="8" w:space="0"/>
              <w:left w:val="nil"/>
              <w:bottom w:val="nil"/>
              <w:right w:val="single" w:color="000000" w:sz="8" w:space="0"/>
            </w:tcBorders>
            <w:vAlign w:val="center"/>
          </w:tcPr>
          <w:p w14:paraId="66DD3788">
            <w:pPr>
              <w:widowControl/>
              <w:spacing w:line="32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按实际情况分配人员数量。</w:t>
            </w:r>
          </w:p>
        </w:tc>
      </w:tr>
      <w:tr w14:paraId="5532E88D">
        <w:tblPrEx>
          <w:tblCellMar>
            <w:top w:w="0" w:type="dxa"/>
            <w:left w:w="108" w:type="dxa"/>
            <w:bottom w:w="0" w:type="dxa"/>
            <w:right w:w="108" w:type="dxa"/>
          </w:tblCellMar>
        </w:tblPrEx>
        <w:trPr>
          <w:trHeight w:val="325" w:hRule="atLeast"/>
        </w:trPr>
        <w:tc>
          <w:tcPr>
            <w:tcW w:w="663" w:type="dxa"/>
            <w:tcBorders>
              <w:top w:val="nil"/>
              <w:left w:val="single" w:color="000000" w:sz="8" w:space="0"/>
              <w:bottom w:val="single" w:color="000000" w:sz="8" w:space="0"/>
              <w:right w:val="single" w:color="000000" w:sz="8" w:space="0"/>
            </w:tcBorders>
            <w:vAlign w:val="center"/>
          </w:tcPr>
          <w:p w14:paraId="046692DB">
            <w:pPr>
              <w:widowControl/>
              <w:spacing w:line="32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885" w:type="dxa"/>
            <w:vMerge w:val="continue"/>
            <w:tcBorders>
              <w:top w:val="nil"/>
              <w:left w:val="nil"/>
              <w:bottom w:val="single" w:color="000000" w:sz="8" w:space="0"/>
              <w:right w:val="single" w:color="000000" w:sz="8" w:space="0"/>
            </w:tcBorders>
            <w:vAlign w:val="center"/>
          </w:tcPr>
          <w:p w14:paraId="6E1C7FBF">
            <w:pPr>
              <w:widowControl/>
              <w:spacing w:line="320" w:lineRule="exact"/>
              <w:jc w:val="center"/>
              <w:rPr>
                <w:rFonts w:ascii="宋体" w:hAnsi="宋体" w:cs="宋体"/>
                <w:color w:val="000000"/>
                <w:sz w:val="20"/>
                <w:szCs w:val="20"/>
              </w:rPr>
            </w:pPr>
          </w:p>
        </w:tc>
        <w:tc>
          <w:tcPr>
            <w:tcW w:w="1714" w:type="dxa"/>
            <w:tcBorders>
              <w:top w:val="nil"/>
              <w:left w:val="nil"/>
              <w:bottom w:val="single" w:color="000000" w:sz="8" w:space="0"/>
              <w:right w:val="nil"/>
            </w:tcBorders>
            <w:vAlign w:val="center"/>
          </w:tcPr>
          <w:p w14:paraId="565DB853">
            <w:pPr>
              <w:widowControl/>
              <w:spacing w:line="320" w:lineRule="exact"/>
              <w:textAlignment w:val="center"/>
              <w:rPr>
                <w:rFonts w:ascii="宋体" w:hAnsi="宋体" w:cs="宋体"/>
                <w:color w:val="000000"/>
                <w:sz w:val="20"/>
                <w:szCs w:val="20"/>
              </w:rPr>
            </w:pPr>
            <w:r>
              <w:rPr>
                <w:rStyle w:val="246"/>
                <w:rFonts w:hint="default"/>
                <w:sz w:val="20"/>
                <w:szCs w:val="20"/>
                <w:lang w:bidi="ar"/>
              </w:rPr>
              <w:t>住院3F</w:t>
            </w:r>
          </w:p>
        </w:tc>
        <w:tc>
          <w:tcPr>
            <w:tcW w:w="887" w:type="dxa"/>
            <w:vMerge w:val="continue"/>
            <w:tcBorders>
              <w:top w:val="single" w:color="000000" w:sz="4" w:space="0"/>
              <w:left w:val="single" w:color="000000" w:sz="4" w:space="0"/>
              <w:bottom w:val="single" w:color="000000" w:sz="4" w:space="0"/>
              <w:right w:val="single" w:color="000000" w:sz="4" w:space="0"/>
            </w:tcBorders>
            <w:vAlign w:val="center"/>
          </w:tcPr>
          <w:p w14:paraId="64751E65">
            <w:pPr>
              <w:widowControl/>
              <w:spacing w:line="320" w:lineRule="exact"/>
              <w:jc w:val="center"/>
              <w:rPr>
                <w:rFonts w:ascii="宋体" w:hAnsi="宋体" w:cs="宋体"/>
                <w:color w:val="000000"/>
                <w:sz w:val="20"/>
                <w:szCs w:val="20"/>
              </w:rPr>
            </w:pPr>
          </w:p>
        </w:tc>
        <w:tc>
          <w:tcPr>
            <w:tcW w:w="4845" w:type="dxa"/>
            <w:tcBorders>
              <w:top w:val="single" w:color="000000" w:sz="8" w:space="0"/>
              <w:left w:val="nil"/>
              <w:bottom w:val="single" w:color="000000" w:sz="8" w:space="0"/>
              <w:right w:val="single" w:color="000000" w:sz="8" w:space="0"/>
            </w:tcBorders>
            <w:vAlign w:val="center"/>
          </w:tcPr>
          <w:p w14:paraId="7C1BE526">
            <w:pPr>
              <w:widowControl/>
              <w:spacing w:line="32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按实际情况分配人员数量。</w:t>
            </w:r>
          </w:p>
        </w:tc>
      </w:tr>
      <w:tr w14:paraId="3AACA1C7">
        <w:tblPrEx>
          <w:tblCellMar>
            <w:top w:w="0" w:type="dxa"/>
            <w:left w:w="108" w:type="dxa"/>
            <w:bottom w:w="0" w:type="dxa"/>
            <w:right w:w="108" w:type="dxa"/>
          </w:tblCellMar>
        </w:tblPrEx>
        <w:trPr>
          <w:trHeight w:val="350" w:hRule="atLeast"/>
        </w:trPr>
        <w:tc>
          <w:tcPr>
            <w:tcW w:w="663" w:type="dxa"/>
            <w:tcBorders>
              <w:top w:val="nil"/>
              <w:left w:val="single" w:color="000000" w:sz="8" w:space="0"/>
              <w:bottom w:val="single" w:color="000000" w:sz="8" w:space="0"/>
              <w:right w:val="single" w:color="000000" w:sz="8" w:space="0"/>
            </w:tcBorders>
            <w:vAlign w:val="center"/>
          </w:tcPr>
          <w:p w14:paraId="1D104BE8">
            <w:pPr>
              <w:widowControl/>
              <w:spacing w:line="32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885" w:type="dxa"/>
            <w:vMerge w:val="continue"/>
            <w:tcBorders>
              <w:top w:val="nil"/>
              <w:left w:val="nil"/>
              <w:bottom w:val="single" w:color="000000" w:sz="8" w:space="0"/>
              <w:right w:val="single" w:color="000000" w:sz="8" w:space="0"/>
            </w:tcBorders>
            <w:vAlign w:val="center"/>
          </w:tcPr>
          <w:p w14:paraId="153CBF3A">
            <w:pPr>
              <w:widowControl/>
              <w:spacing w:line="320" w:lineRule="exact"/>
              <w:jc w:val="center"/>
              <w:rPr>
                <w:rFonts w:ascii="宋体" w:hAnsi="宋体" w:cs="宋体"/>
                <w:color w:val="000000"/>
                <w:sz w:val="20"/>
                <w:szCs w:val="20"/>
              </w:rPr>
            </w:pPr>
          </w:p>
        </w:tc>
        <w:tc>
          <w:tcPr>
            <w:tcW w:w="1714" w:type="dxa"/>
            <w:tcBorders>
              <w:top w:val="nil"/>
              <w:left w:val="nil"/>
              <w:bottom w:val="single" w:color="000000" w:sz="8" w:space="0"/>
              <w:right w:val="nil"/>
            </w:tcBorders>
            <w:vAlign w:val="center"/>
          </w:tcPr>
          <w:p w14:paraId="5680D389">
            <w:pPr>
              <w:widowControl/>
              <w:spacing w:line="320" w:lineRule="exact"/>
              <w:textAlignment w:val="center"/>
              <w:rPr>
                <w:rFonts w:ascii="宋体" w:hAnsi="宋体" w:cs="宋体"/>
                <w:color w:val="000000"/>
                <w:sz w:val="20"/>
                <w:szCs w:val="20"/>
              </w:rPr>
            </w:pPr>
            <w:r>
              <w:rPr>
                <w:rStyle w:val="246"/>
                <w:rFonts w:hint="default"/>
                <w:sz w:val="20"/>
                <w:szCs w:val="20"/>
                <w:lang w:bidi="ar"/>
              </w:rPr>
              <w:t>住院4F</w:t>
            </w:r>
          </w:p>
        </w:tc>
        <w:tc>
          <w:tcPr>
            <w:tcW w:w="887" w:type="dxa"/>
            <w:vMerge w:val="continue"/>
            <w:tcBorders>
              <w:top w:val="single" w:color="000000" w:sz="4" w:space="0"/>
              <w:left w:val="single" w:color="000000" w:sz="4" w:space="0"/>
              <w:bottom w:val="single" w:color="000000" w:sz="4" w:space="0"/>
              <w:right w:val="single" w:color="000000" w:sz="4" w:space="0"/>
            </w:tcBorders>
            <w:vAlign w:val="center"/>
          </w:tcPr>
          <w:p w14:paraId="274002D7">
            <w:pPr>
              <w:widowControl/>
              <w:spacing w:line="320" w:lineRule="exact"/>
              <w:jc w:val="center"/>
              <w:rPr>
                <w:rFonts w:ascii="宋体" w:hAnsi="宋体" w:cs="宋体"/>
                <w:color w:val="000000"/>
                <w:sz w:val="20"/>
                <w:szCs w:val="20"/>
              </w:rPr>
            </w:pPr>
          </w:p>
        </w:tc>
        <w:tc>
          <w:tcPr>
            <w:tcW w:w="4845" w:type="dxa"/>
            <w:tcBorders>
              <w:top w:val="single" w:color="000000" w:sz="8" w:space="0"/>
              <w:left w:val="nil"/>
              <w:bottom w:val="single" w:color="000000" w:sz="8" w:space="0"/>
              <w:right w:val="single" w:color="000000" w:sz="8" w:space="0"/>
            </w:tcBorders>
            <w:vAlign w:val="center"/>
          </w:tcPr>
          <w:p w14:paraId="5DB9C44D">
            <w:pPr>
              <w:widowControl/>
              <w:spacing w:line="32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按实际情况分配人员数量。</w:t>
            </w:r>
          </w:p>
        </w:tc>
      </w:tr>
      <w:tr w14:paraId="212519FE">
        <w:tblPrEx>
          <w:tblCellMar>
            <w:top w:w="0" w:type="dxa"/>
            <w:left w:w="108" w:type="dxa"/>
            <w:bottom w:w="0" w:type="dxa"/>
            <w:right w:w="108" w:type="dxa"/>
          </w:tblCellMar>
        </w:tblPrEx>
        <w:trPr>
          <w:trHeight w:val="288" w:hRule="atLeast"/>
        </w:trPr>
        <w:tc>
          <w:tcPr>
            <w:tcW w:w="663" w:type="dxa"/>
            <w:tcBorders>
              <w:top w:val="nil"/>
              <w:left w:val="single" w:color="000000" w:sz="8" w:space="0"/>
              <w:bottom w:val="single" w:color="000000" w:sz="8" w:space="0"/>
              <w:right w:val="single" w:color="000000" w:sz="8" w:space="0"/>
            </w:tcBorders>
            <w:vAlign w:val="center"/>
          </w:tcPr>
          <w:p w14:paraId="0BC7270A">
            <w:pPr>
              <w:widowControl/>
              <w:spacing w:line="32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885" w:type="dxa"/>
            <w:vMerge w:val="continue"/>
            <w:tcBorders>
              <w:top w:val="nil"/>
              <w:left w:val="nil"/>
              <w:bottom w:val="single" w:color="000000" w:sz="8" w:space="0"/>
              <w:right w:val="single" w:color="000000" w:sz="8" w:space="0"/>
            </w:tcBorders>
            <w:vAlign w:val="center"/>
          </w:tcPr>
          <w:p w14:paraId="723152A4">
            <w:pPr>
              <w:widowControl/>
              <w:spacing w:line="320" w:lineRule="exact"/>
              <w:jc w:val="center"/>
              <w:rPr>
                <w:rFonts w:ascii="宋体" w:hAnsi="宋体" w:cs="宋体"/>
                <w:color w:val="000000"/>
                <w:sz w:val="20"/>
                <w:szCs w:val="20"/>
              </w:rPr>
            </w:pPr>
          </w:p>
        </w:tc>
        <w:tc>
          <w:tcPr>
            <w:tcW w:w="1714" w:type="dxa"/>
            <w:tcBorders>
              <w:top w:val="nil"/>
              <w:left w:val="nil"/>
              <w:bottom w:val="single" w:color="000000" w:sz="8" w:space="0"/>
              <w:right w:val="nil"/>
            </w:tcBorders>
            <w:vAlign w:val="center"/>
          </w:tcPr>
          <w:p w14:paraId="693C5DA1">
            <w:pPr>
              <w:widowControl/>
              <w:spacing w:line="320" w:lineRule="exact"/>
              <w:textAlignment w:val="center"/>
              <w:rPr>
                <w:rFonts w:ascii="宋体" w:hAnsi="宋体" w:cs="宋体"/>
                <w:color w:val="000000"/>
                <w:sz w:val="20"/>
                <w:szCs w:val="20"/>
              </w:rPr>
            </w:pPr>
            <w:r>
              <w:rPr>
                <w:rStyle w:val="246"/>
                <w:rFonts w:hint="default"/>
                <w:sz w:val="20"/>
                <w:szCs w:val="20"/>
                <w:lang w:bidi="ar"/>
              </w:rPr>
              <w:t>住院5F</w:t>
            </w:r>
          </w:p>
        </w:tc>
        <w:tc>
          <w:tcPr>
            <w:tcW w:w="887" w:type="dxa"/>
            <w:vMerge w:val="continue"/>
            <w:tcBorders>
              <w:top w:val="single" w:color="000000" w:sz="4" w:space="0"/>
              <w:left w:val="single" w:color="000000" w:sz="4" w:space="0"/>
              <w:bottom w:val="single" w:color="000000" w:sz="4" w:space="0"/>
              <w:right w:val="single" w:color="000000" w:sz="4" w:space="0"/>
            </w:tcBorders>
            <w:vAlign w:val="center"/>
          </w:tcPr>
          <w:p w14:paraId="4BE0D3A9">
            <w:pPr>
              <w:widowControl/>
              <w:spacing w:line="320" w:lineRule="exact"/>
              <w:jc w:val="center"/>
              <w:rPr>
                <w:rFonts w:ascii="宋体" w:hAnsi="宋体" w:cs="宋体"/>
                <w:color w:val="000000"/>
                <w:sz w:val="20"/>
                <w:szCs w:val="20"/>
              </w:rPr>
            </w:pPr>
          </w:p>
        </w:tc>
        <w:tc>
          <w:tcPr>
            <w:tcW w:w="4845" w:type="dxa"/>
            <w:tcBorders>
              <w:top w:val="single" w:color="000000" w:sz="8" w:space="0"/>
              <w:left w:val="nil"/>
              <w:bottom w:val="single" w:color="000000" w:sz="8" w:space="0"/>
              <w:right w:val="single" w:color="000000" w:sz="8" w:space="0"/>
            </w:tcBorders>
            <w:vAlign w:val="center"/>
          </w:tcPr>
          <w:p w14:paraId="0B24E2FF">
            <w:pPr>
              <w:widowControl/>
              <w:spacing w:line="32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按实际情况分配人员数量。</w:t>
            </w:r>
          </w:p>
        </w:tc>
      </w:tr>
      <w:tr w14:paraId="1E842C55">
        <w:tblPrEx>
          <w:tblCellMar>
            <w:top w:w="0" w:type="dxa"/>
            <w:left w:w="108" w:type="dxa"/>
            <w:bottom w:w="0" w:type="dxa"/>
            <w:right w:w="108" w:type="dxa"/>
          </w:tblCellMar>
        </w:tblPrEx>
        <w:trPr>
          <w:trHeight w:val="300" w:hRule="atLeast"/>
        </w:trPr>
        <w:tc>
          <w:tcPr>
            <w:tcW w:w="663" w:type="dxa"/>
            <w:tcBorders>
              <w:top w:val="nil"/>
              <w:left w:val="single" w:color="000000" w:sz="8" w:space="0"/>
              <w:bottom w:val="single" w:color="000000" w:sz="8" w:space="0"/>
              <w:right w:val="single" w:color="000000" w:sz="8" w:space="0"/>
            </w:tcBorders>
            <w:vAlign w:val="center"/>
          </w:tcPr>
          <w:p w14:paraId="2762F872">
            <w:pPr>
              <w:widowControl/>
              <w:spacing w:line="32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885" w:type="dxa"/>
            <w:vMerge w:val="continue"/>
            <w:tcBorders>
              <w:top w:val="nil"/>
              <w:left w:val="nil"/>
              <w:bottom w:val="single" w:color="000000" w:sz="8" w:space="0"/>
              <w:right w:val="single" w:color="000000" w:sz="8" w:space="0"/>
            </w:tcBorders>
            <w:vAlign w:val="center"/>
          </w:tcPr>
          <w:p w14:paraId="1AE1F8B8">
            <w:pPr>
              <w:widowControl/>
              <w:spacing w:line="320" w:lineRule="exact"/>
              <w:jc w:val="center"/>
              <w:rPr>
                <w:rFonts w:ascii="宋体" w:hAnsi="宋体" w:cs="宋体"/>
                <w:color w:val="000000"/>
                <w:sz w:val="20"/>
                <w:szCs w:val="20"/>
              </w:rPr>
            </w:pPr>
          </w:p>
        </w:tc>
        <w:tc>
          <w:tcPr>
            <w:tcW w:w="1714" w:type="dxa"/>
            <w:tcBorders>
              <w:top w:val="nil"/>
              <w:left w:val="nil"/>
              <w:bottom w:val="single" w:color="000000" w:sz="8" w:space="0"/>
              <w:right w:val="nil"/>
            </w:tcBorders>
            <w:vAlign w:val="center"/>
          </w:tcPr>
          <w:p w14:paraId="6A0F735F">
            <w:pPr>
              <w:widowControl/>
              <w:spacing w:line="320" w:lineRule="exact"/>
              <w:textAlignment w:val="center"/>
              <w:rPr>
                <w:rFonts w:ascii="宋体" w:hAnsi="宋体" w:cs="宋体"/>
                <w:color w:val="000000"/>
                <w:sz w:val="20"/>
                <w:szCs w:val="20"/>
              </w:rPr>
            </w:pPr>
            <w:r>
              <w:rPr>
                <w:rStyle w:val="246"/>
                <w:rFonts w:hint="default"/>
                <w:sz w:val="20"/>
                <w:szCs w:val="20"/>
                <w:lang w:bidi="ar"/>
              </w:rPr>
              <w:t>住院6F</w:t>
            </w:r>
          </w:p>
        </w:tc>
        <w:tc>
          <w:tcPr>
            <w:tcW w:w="887" w:type="dxa"/>
            <w:vMerge w:val="continue"/>
            <w:tcBorders>
              <w:top w:val="single" w:color="000000" w:sz="4" w:space="0"/>
              <w:left w:val="single" w:color="000000" w:sz="4" w:space="0"/>
              <w:bottom w:val="single" w:color="000000" w:sz="4" w:space="0"/>
              <w:right w:val="single" w:color="000000" w:sz="4" w:space="0"/>
            </w:tcBorders>
            <w:vAlign w:val="center"/>
          </w:tcPr>
          <w:p w14:paraId="6DC9FD1E">
            <w:pPr>
              <w:widowControl/>
              <w:spacing w:line="320" w:lineRule="exact"/>
              <w:jc w:val="center"/>
              <w:rPr>
                <w:rFonts w:ascii="宋体" w:hAnsi="宋体" w:cs="宋体"/>
                <w:color w:val="000000"/>
                <w:sz w:val="20"/>
                <w:szCs w:val="20"/>
              </w:rPr>
            </w:pPr>
          </w:p>
        </w:tc>
        <w:tc>
          <w:tcPr>
            <w:tcW w:w="4845" w:type="dxa"/>
            <w:tcBorders>
              <w:top w:val="single" w:color="000000" w:sz="8" w:space="0"/>
              <w:left w:val="nil"/>
              <w:bottom w:val="single" w:color="000000" w:sz="8" w:space="0"/>
              <w:right w:val="single" w:color="000000" w:sz="8" w:space="0"/>
            </w:tcBorders>
            <w:vAlign w:val="center"/>
          </w:tcPr>
          <w:p w14:paraId="79006088">
            <w:pPr>
              <w:widowControl/>
              <w:spacing w:line="32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按实际情况分配人员数量。</w:t>
            </w:r>
          </w:p>
        </w:tc>
      </w:tr>
      <w:tr w14:paraId="3F794785">
        <w:tblPrEx>
          <w:tblCellMar>
            <w:top w:w="0" w:type="dxa"/>
            <w:left w:w="108" w:type="dxa"/>
            <w:bottom w:w="0" w:type="dxa"/>
            <w:right w:w="108" w:type="dxa"/>
          </w:tblCellMar>
        </w:tblPrEx>
        <w:trPr>
          <w:trHeight w:val="622" w:hRule="atLeast"/>
        </w:trPr>
        <w:tc>
          <w:tcPr>
            <w:tcW w:w="663" w:type="dxa"/>
            <w:tcBorders>
              <w:top w:val="nil"/>
              <w:left w:val="single" w:color="000000" w:sz="8" w:space="0"/>
              <w:bottom w:val="single" w:color="000000" w:sz="8" w:space="0"/>
              <w:right w:val="single" w:color="000000" w:sz="8" w:space="0"/>
            </w:tcBorders>
            <w:vAlign w:val="center"/>
          </w:tcPr>
          <w:p w14:paraId="4FA57426">
            <w:pPr>
              <w:widowControl/>
              <w:spacing w:line="32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885" w:type="dxa"/>
            <w:vMerge w:val="continue"/>
            <w:tcBorders>
              <w:top w:val="nil"/>
              <w:left w:val="nil"/>
              <w:bottom w:val="single" w:color="000000" w:sz="8" w:space="0"/>
              <w:right w:val="single" w:color="000000" w:sz="8" w:space="0"/>
            </w:tcBorders>
            <w:vAlign w:val="center"/>
          </w:tcPr>
          <w:p w14:paraId="1965A349">
            <w:pPr>
              <w:widowControl/>
              <w:spacing w:line="320" w:lineRule="exact"/>
              <w:jc w:val="center"/>
              <w:rPr>
                <w:rFonts w:ascii="宋体" w:hAnsi="宋体" w:cs="宋体"/>
                <w:color w:val="000000"/>
                <w:sz w:val="20"/>
                <w:szCs w:val="20"/>
              </w:rPr>
            </w:pPr>
          </w:p>
        </w:tc>
        <w:tc>
          <w:tcPr>
            <w:tcW w:w="1714" w:type="dxa"/>
            <w:tcBorders>
              <w:top w:val="nil"/>
              <w:left w:val="nil"/>
              <w:bottom w:val="single" w:color="000000" w:sz="8" w:space="0"/>
              <w:right w:val="nil"/>
            </w:tcBorders>
            <w:vAlign w:val="center"/>
          </w:tcPr>
          <w:p w14:paraId="6B35D3F3">
            <w:pPr>
              <w:widowControl/>
              <w:spacing w:line="320" w:lineRule="exact"/>
              <w:textAlignment w:val="center"/>
              <w:rPr>
                <w:rFonts w:ascii="宋体" w:hAnsi="宋体" w:cs="宋体"/>
                <w:color w:val="000000"/>
                <w:sz w:val="20"/>
                <w:szCs w:val="20"/>
              </w:rPr>
            </w:pPr>
            <w:r>
              <w:rPr>
                <w:rFonts w:hint="eastAsia" w:ascii="宋体" w:hAnsi="宋体" w:cs="宋体"/>
                <w:color w:val="000000"/>
                <w:kern w:val="0"/>
                <w:sz w:val="20"/>
                <w:szCs w:val="20"/>
                <w:lang w:bidi="ar"/>
              </w:rPr>
              <w:t>发热门诊，保障楼1—3F公共区域</w:t>
            </w:r>
          </w:p>
        </w:tc>
        <w:tc>
          <w:tcPr>
            <w:tcW w:w="887" w:type="dxa"/>
            <w:vMerge w:val="continue"/>
            <w:tcBorders>
              <w:top w:val="single" w:color="000000" w:sz="4" w:space="0"/>
              <w:left w:val="single" w:color="000000" w:sz="4" w:space="0"/>
              <w:bottom w:val="single" w:color="000000" w:sz="4" w:space="0"/>
              <w:right w:val="single" w:color="000000" w:sz="4" w:space="0"/>
            </w:tcBorders>
            <w:vAlign w:val="center"/>
          </w:tcPr>
          <w:p w14:paraId="0B110678">
            <w:pPr>
              <w:widowControl/>
              <w:spacing w:line="320" w:lineRule="exact"/>
              <w:jc w:val="center"/>
              <w:rPr>
                <w:rFonts w:ascii="宋体" w:hAnsi="宋体" w:cs="宋体"/>
                <w:color w:val="000000"/>
                <w:sz w:val="20"/>
                <w:szCs w:val="20"/>
              </w:rPr>
            </w:pPr>
          </w:p>
        </w:tc>
        <w:tc>
          <w:tcPr>
            <w:tcW w:w="4845" w:type="dxa"/>
            <w:tcBorders>
              <w:top w:val="single" w:color="000000" w:sz="8" w:space="0"/>
              <w:left w:val="nil"/>
              <w:bottom w:val="single" w:color="000000" w:sz="8" w:space="0"/>
              <w:right w:val="single" w:color="000000" w:sz="8" w:space="0"/>
            </w:tcBorders>
            <w:vAlign w:val="center"/>
          </w:tcPr>
          <w:p w14:paraId="2731E05E">
            <w:pPr>
              <w:widowControl/>
              <w:spacing w:line="32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按实际情况分配人员数量。不含食堂用餐区域。按实际情况分配人员数量。</w:t>
            </w:r>
          </w:p>
        </w:tc>
      </w:tr>
      <w:tr w14:paraId="45F19680">
        <w:tblPrEx>
          <w:tblCellMar>
            <w:top w:w="0" w:type="dxa"/>
            <w:left w:w="108" w:type="dxa"/>
            <w:bottom w:w="0" w:type="dxa"/>
            <w:right w:w="108" w:type="dxa"/>
          </w:tblCellMar>
        </w:tblPrEx>
        <w:trPr>
          <w:trHeight w:val="1092" w:hRule="atLeast"/>
        </w:trPr>
        <w:tc>
          <w:tcPr>
            <w:tcW w:w="663" w:type="dxa"/>
            <w:tcBorders>
              <w:top w:val="nil"/>
              <w:left w:val="single" w:color="000000" w:sz="8" w:space="0"/>
              <w:bottom w:val="single" w:color="000000" w:sz="8" w:space="0"/>
              <w:right w:val="single" w:color="000000" w:sz="8" w:space="0"/>
            </w:tcBorders>
            <w:vAlign w:val="center"/>
          </w:tcPr>
          <w:p w14:paraId="2AB99D33">
            <w:pPr>
              <w:widowControl/>
              <w:spacing w:line="32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885" w:type="dxa"/>
            <w:vMerge w:val="continue"/>
            <w:tcBorders>
              <w:top w:val="nil"/>
              <w:left w:val="nil"/>
              <w:bottom w:val="single" w:color="000000" w:sz="8" w:space="0"/>
              <w:right w:val="single" w:color="000000" w:sz="8" w:space="0"/>
            </w:tcBorders>
            <w:vAlign w:val="center"/>
          </w:tcPr>
          <w:p w14:paraId="2DD065E0">
            <w:pPr>
              <w:widowControl/>
              <w:spacing w:line="320" w:lineRule="exact"/>
              <w:jc w:val="center"/>
              <w:rPr>
                <w:rFonts w:ascii="宋体" w:hAnsi="宋体" w:cs="宋体"/>
                <w:color w:val="000000"/>
                <w:sz w:val="20"/>
                <w:szCs w:val="20"/>
              </w:rPr>
            </w:pPr>
          </w:p>
        </w:tc>
        <w:tc>
          <w:tcPr>
            <w:tcW w:w="1714" w:type="dxa"/>
            <w:tcBorders>
              <w:top w:val="nil"/>
              <w:left w:val="nil"/>
              <w:bottom w:val="single" w:color="000000" w:sz="8" w:space="0"/>
              <w:right w:val="nil"/>
            </w:tcBorders>
            <w:vAlign w:val="center"/>
          </w:tcPr>
          <w:p w14:paraId="2EE10CA1">
            <w:pPr>
              <w:widowControl/>
              <w:spacing w:line="280" w:lineRule="exact"/>
              <w:textAlignment w:val="center"/>
              <w:rPr>
                <w:rFonts w:ascii="宋体" w:hAnsi="宋体" w:cs="宋体"/>
                <w:color w:val="000000"/>
                <w:sz w:val="20"/>
                <w:szCs w:val="20"/>
              </w:rPr>
            </w:pPr>
            <w:r>
              <w:rPr>
                <w:rFonts w:hint="eastAsia" w:ascii="宋体" w:hAnsi="宋体" w:cs="宋体"/>
                <w:color w:val="000000"/>
                <w:kern w:val="0"/>
                <w:sz w:val="20"/>
                <w:szCs w:val="20"/>
                <w:lang w:bidi="ar"/>
              </w:rPr>
              <w:t>生活垃圾运送管理、病房地面PVC、外环境及地下室清洁</w:t>
            </w:r>
          </w:p>
        </w:tc>
        <w:tc>
          <w:tcPr>
            <w:tcW w:w="887" w:type="dxa"/>
            <w:vMerge w:val="continue"/>
            <w:tcBorders>
              <w:top w:val="single" w:color="000000" w:sz="4" w:space="0"/>
              <w:left w:val="single" w:color="000000" w:sz="4" w:space="0"/>
              <w:bottom w:val="single" w:color="000000" w:sz="4" w:space="0"/>
              <w:right w:val="single" w:color="000000" w:sz="4" w:space="0"/>
            </w:tcBorders>
            <w:vAlign w:val="center"/>
          </w:tcPr>
          <w:p w14:paraId="0AAE568E">
            <w:pPr>
              <w:widowControl/>
              <w:spacing w:line="320" w:lineRule="exact"/>
              <w:jc w:val="center"/>
              <w:rPr>
                <w:rFonts w:ascii="宋体" w:hAnsi="宋体" w:cs="宋体"/>
                <w:color w:val="000000"/>
                <w:sz w:val="20"/>
                <w:szCs w:val="20"/>
              </w:rPr>
            </w:pPr>
          </w:p>
        </w:tc>
        <w:tc>
          <w:tcPr>
            <w:tcW w:w="4845" w:type="dxa"/>
            <w:tcBorders>
              <w:top w:val="single" w:color="000000" w:sz="8" w:space="0"/>
              <w:left w:val="nil"/>
              <w:bottom w:val="single" w:color="000000" w:sz="8" w:space="0"/>
              <w:right w:val="single" w:color="000000" w:sz="8" w:space="0"/>
            </w:tcBorders>
            <w:vAlign w:val="center"/>
          </w:tcPr>
          <w:p w14:paraId="5D3B45CC">
            <w:pPr>
              <w:widowControl/>
              <w:spacing w:line="32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按实际情况分配人员数量。pvc地面清洗养护、玻璃清洁、不锈钢养护等。</w:t>
            </w:r>
          </w:p>
        </w:tc>
      </w:tr>
      <w:tr w14:paraId="36D0A0A6">
        <w:tblPrEx>
          <w:tblCellMar>
            <w:top w:w="0" w:type="dxa"/>
            <w:left w:w="108" w:type="dxa"/>
            <w:bottom w:w="0" w:type="dxa"/>
            <w:right w:w="108" w:type="dxa"/>
          </w:tblCellMar>
        </w:tblPrEx>
        <w:trPr>
          <w:trHeight w:val="1045" w:hRule="atLeast"/>
        </w:trPr>
        <w:tc>
          <w:tcPr>
            <w:tcW w:w="663" w:type="dxa"/>
            <w:tcBorders>
              <w:top w:val="nil"/>
              <w:left w:val="single" w:color="000000" w:sz="8" w:space="0"/>
              <w:bottom w:val="single" w:color="000000" w:sz="8" w:space="0"/>
              <w:right w:val="single" w:color="000000" w:sz="8" w:space="0"/>
            </w:tcBorders>
            <w:vAlign w:val="center"/>
          </w:tcPr>
          <w:p w14:paraId="60277BD9">
            <w:pPr>
              <w:widowControl/>
              <w:spacing w:line="32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885" w:type="dxa"/>
            <w:tcBorders>
              <w:top w:val="nil"/>
              <w:left w:val="nil"/>
              <w:bottom w:val="single" w:color="000000" w:sz="8" w:space="0"/>
              <w:right w:val="single" w:color="000000" w:sz="8" w:space="0"/>
            </w:tcBorders>
            <w:vAlign w:val="center"/>
          </w:tcPr>
          <w:p w14:paraId="65C71B62">
            <w:pPr>
              <w:widowControl/>
              <w:spacing w:line="320" w:lineRule="exact"/>
              <w:jc w:val="center"/>
              <w:textAlignment w:val="center"/>
              <w:rPr>
                <w:rFonts w:ascii="宋体" w:hAnsi="宋体" w:cs="宋体"/>
                <w:color w:val="000000"/>
                <w:sz w:val="20"/>
                <w:szCs w:val="20"/>
              </w:rPr>
            </w:pPr>
            <w:r>
              <w:rPr>
                <w:rStyle w:val="246"/>
                <w:rFonts w:hint="default"/>
                <w:sz w:val="20"/>
                <w:szCs w:val="20"/>
                <w:lang w:bidi="ar"/>
              </w:rPr>
              <w:t>运送</w:t>
            </w:r>
          </w:p>
        </w:tc>
        <w:tc>
          <w:tcPr>
            <w:tcW w:w="1714" w:type="dxa"/>
            <w:tcBorders>
              <w:top w:val="nil"/>
              <w:left w:val="nil"/>
              <w:bottom w:val="single" w:color="000000" w:sz="8" w:space="0"/>
              <w:right w:val="nil"/>
            </w:tcBorders>
            <w:vAlign w:val="center"/>
          </w:tcPr>
          <w:p w14:paraId="2272597E">
            <w:pPr>
              <w:widowControl/>
              <w:spacing w:line="280" w:lineRule="exact"/>
              <w:textAlignment w:val="center"/>
              <w:rPr>
                <w:rFonts w:ascii="宋体" w:hAnsi="宋体" w:cs="宋体"/>
                <w:color w:val="000000"/>
                <w:sz w:val="20"/>
                <w:szCs w:val="20"/>
              </w:rPr>
            </w:pPr>
            <w:r>
              <w:rPr>
                <w:rFonts w:hint="eastAsia" w:ascii="宋体" w:hAnsi="宋体" w:cs="宋体"/>
                <w:color w:val="000000"/>
                <w:kern w:val="0"/>
                <w:sz w:val="20"/>
                <w:szCs w:val="20"/>
                <w:lang w:bidi="ar"/>
              </w:rPr>
              <w:t>集中运送（含医疗垃圾运送管理、标本、药物运送）</w:t>
            </w:r>
          </w:p>
        </w:tc>
        <w:tc>
          <w:tcPr>
            <w:tcW w:w="887" w:type="dxa"/>
            <w:vMerge w:val="continue"/>
            <w:tcBorders>
              <w:top w:val="single" w:color="000000" w:sz="4" w:space="0"/>
              <w:left w:val="single" w:color="000000" w:sz="4" w:space="0"/>
              <w:bottom w:val="single" w:color="000000" w:sz="4" w:space="0"/>
              <w:right w:val="single" w:color="000000" w:sz="4" w:space="0"/>
            </w:tcBorders>
            <w:vAlign w:val="center"/>
          </w:tcPr>
          <w:p w14:paraId="17DFF6EA">
            <w:pPr>
              <w:widowControl/>
              <w:spacing w:line="320" w:lineRule="exact"/>
              <w:jc w:val="center"/>
              <w:rPr>
                <w:rFonts w:ascii="宋体" w:hAnsi="宋体" w:cs="宋体"/>
                <w:color w:val="000000"/>
                <w:sz w:val="20"/>
                <w:szCs w:val="20"/>
              </w:rPr>
            </w:pPr>
          </w:p>
        </w:tc>
        <w:tc>
          <w:tcPr>
            <w:tcW w:w="4845" w:type="dxa"/>
            <w:tcBorders>
              <w:top w:val="single" w:color="000000" w:sz="8" w:space="0"/>
              <w:left w:val="nil"/>
              <w:bottom w:val="single" w:color="000000" w:sz="8" w:space="0"/>
              <w:right w:val="single" w:color="000000" w:sz="8" w:space="0"/>
            </w:tcBorders>
            <w:vAlign w:val="center"/>
          </w:tcPr>
          <w:p w14:paraId="06103512">
            <w:pPr>
              <w:widowControl/>
              <w:spacing w:line="32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按实际情况分配人员数量。医废收集信息化系统使用及收集车使用。</w:t>
            </w:r>
          </w:p>
        </w:tc>
      </w:tr>
      <w:tr w14:paraId="79B00278">
        <w:tblPrEx>
          <w:tblCellMar>
            <w:top w:w="0" w:type="dxa"/>
            <w:left w:w="108" w:type="dxa"/>
            <w:bottom w:w="0" w:type="dxa"/>
            <w:right w:w="108" w:type="dxa"/>
          </w:tblCellMar>
        </w:tblPrEx>
        <w:trPr>
          <w:trHeight w:val="720" w:hRule="atLeast"/>
        </w:trPr>
        <w:tc>
          <w:tcPr>
            <w:tcW w:w="663" w:type="dxa"/>
            <w:tcBorders>
              <w:top w:val="nil"/>
              <w:left w:val="single" w:color="000000" w:sz="8" w:space="0"/>
              <w:bottom w:val="single" w:color="000000" w:sz="8" w:space="0"/>
              <w:right w:val="single" w:color="000000" w:sz="8" w:space="0"/>
            </w:tcBorders>
            <w:vAlign w:val="center"/>
          </w:tcPr>
          <w:p w14:paraId="7CAFC11D">
            <w:pPr>
              <w:widowControl/>
              <w:spacing w:line="32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885" w:type="dxa"/>
            <w:tcBorders>
              <w:top w:val="nil"/>
              <w:left w:val="nil"/>
              <w:bottom w:val="single" w:color="000000" w:sz="8" w:space="0"/>
              <w:right w:val="single" w:color="000000" w:sz="8" w:space="0"/>
            </w:tcBorders>
            <w:vAlign w:val="center"/>
          </w:tcPr>
          <w:p w14:paraId="7D907A4E">
            <w:pPr>
              <w:widowControl/>
              <w:spacing w:line="320" w:lineRule="exact"/>
              <w:jc w:val="center"/>
              <w:textAlignment w:val="center"/>
              <w:rPr>
                <w:rStyle w:val="246"/>
                <w:rFonts w:hint="default"/>
                <w:sz w:val="20"/>
                <w:szCs w:val="20"/>
                <w:lang w:bidi="ar"/>
              </w:rPr>
            </w:pPr>
            <w:r>
              <w:rPr>
                <w:rStyle w:val="246"/>
                <w:rFonts w:hint="default"/>
                <w:sz w:val="20"/>
                <w:szCs w:val="20"/>
                <w:lang w:bidi="ar"/>
              </w:rPr>
              <w:t>驻守</w:t>
            </w:r>
          </w:p>
          <w:p w14:paraId="2AB0FD72">
            <w:pPr>
              <w:widowControl/>
              <w:spacing w:line="320" w:lineRule="exact"/>
              <w:jc w:val="center"/>
              <w:textAlignment w:val="center"/>
              <w:rPr>
                <w:rFonts w:ascii="宋体" w:hAnsi="宋体" w:cs="宋体"/>
                <w:color w:val="000000"/>
                <w:sz w:val="20"/>
                <w:szCs w:val="20"/>
              </w:rPr>
            </w:pPr>
            <w:r>
              <w:rPr>
                <w:rStyle w:val="246"/>
                <w:rFonts w:hint="default"/>
                <w:sz w:val="20"/>
                <w:szCs w:val="20"/>
                <w:lang w:bidi="ar"/>
              </w:rPr>
              <w:t>工勤</w:t>
            </w:r>
          </w:p>
        </w:tc>
        <w:tc>
          <w:tcPr>
            <w:tcW w:w="1714" w:type="dxa"/>
            <w:tcBorders>
              <w:top w:val="nil"/>
              <w:left w:val="nil"/>
              <w:bottom w:val="single" w:color="000000" w:sz="8" w:space="0"/>
              <w:right w:val="nil"/>
            </w:tcBorders>
            <w:vAlign w:val="center"/>
          </w:tcPr>
          <w:p w14:paraId="62F7C2AC">
            <w:pPr>
              <w:widowControl/>
              <w:spacing w:line="320" w:lineRule="exact"/>
              <w:textAlignment w:val="center"/>
              <w:rPr>
                <w:rFonts w:ascii="宋体" w:hAnsi="宋体" w:cs="宋体"/>
                <w:color w:val="000000"/>
                <w:sz w:val="20"/>
                <w:szCs w:val="20"/>
              </w:rPr>
            </w:pPr>
            <w:r>
              <w:rPr>
                <w:rFonts w:hint="eastAsia" w:ascii="宋体" w:hAnsi="宋体" w:cs="宋体"/>
                <w:color w:val="000000"/>
                <w:kern w:val="0"/>
                <w:sz w:val="20"/>
                <w:szCs w:val="20"/>
                <w:lang w:bidi="ar"/>
              </w:rPr>
              <w:t>工作位置相对固定，无菌观念强。</w:t>
            </w:r>
          </w:p>
        </w:tc>
        <w:tc>
          <w:tcPr>
            <w:tcW w:w="887" w:type="dxa"/>
            <w:vMerge w:val="continue"/>
            <w:tcBorders>
              <w:top w:val="single" w:color="000000" w:sz="4" w:space="0"/>
              <w:left w:val="single" w:color="000000" w:sz="4" w:space="0"/>
              <w:bottom w:val="single" w:color="000000" w:sz="4" w:space="0"/>
              <w:right w:val="single" w:color="000000" w:sz="4" w:space="0"/>
            </w:tcBorders>
            <w:vAlign w:val="center"/>
          </w:tcPr>
          <w:p w14:paraId="55F42C88">
            <w:pPr>
              <w:widowControl/>
              <w:spacing w:line="320" w:lineRule="exact"/>
              <w:jc w:val="center"/>
              <w:rPr>
                <w:rFonts w:ascii="宋体" w:hAnsi="宋体" w:cs="宋体"/>
                <w:color w:val="000000"/>
                <w:sz w:val="20"/>
                <w:szCs w:val="20"/>
              </w:rPr>
            </w:pPr>
          </w:p>
        </w:tc>
        <w:tc>
          <w:tcPr>
            <w:tcW w:w="4845" w:type="dxa"/>
            <w:tcBorders>
              <w:top w:val="nil"/>
              <w:left w:val="nil"/>
              <w:bottom w:val="single" w:color="000000" w:sz="8" w:space="0"/>
              <w:right w:val="single" w:color="000000" w:sz="8" w:space="0"/>
            </w:tcBorders>
            <w:vAlign w:val="center"/>
          </w:tcPr>
          <w:p w14:paraId="135D3467">
            <w:pPr>
              <w:widowControl/>
              <w:spacing w:line="320" w:lineRule="exact"/>
              <w:textAlignment w:val="center"/>
              <w:rPr>
                <w:rFonts w:ascii="宋体" w:hAnsi="宋体" w:cs="宋体"/>
                <w:color w:val="000000"/>
                <w:sz w:val="20"/>
                <w:szCs w:val="20"/>
              </w:rPr>
            </w:pPr>
            <w:r>
              <w:rPr>
                <w:rFonts w:hint="eastAsia" w:ascii="宋体" w:hAnsi="宋体" w:cs="宋体"/>
                <w:color w:val="000000"/>
                <w:kern w:val="0"/>
                <w:sz w:val="20"/>
                <w:szCs w:val="20"/>
                <w:lang w:bidi="ar"/>
              </w:rPr>
              <w:t>按实际情况分配人员数量。负责手术室、产房、ICU日常保洁、病人接送等；</w:t>
            </w:r>
          </w:p>
        </w:tc>
      </w:tr>
      <w:tr w14:paraId="50BBA324">
        <w:tblPrEx>
          <w:tblCellMar>
            <w:top w:w="0" w:type="dxa"/>
            <w:left w:w="108" w:type="dxa"/>
            <w:bottom w:w="0" w:type="dxa"/>
            <w:right w:w="108" w:type="dxa"/>
          </w:tblCellMar>
        </w:tblPrEx>
        <w:trPr>
          <w:trHeight w:val="710" w:hRule="atLeast"/>
        </w:trPr>
        <w:tc>
          <w:tcPr>
            <w:tcW w:w="663" w:type="dxa"/>
            <w:tcBorders>
              <w:top w:val="nil"/>
              <w:left w:val="single" w:color="000000" w:sz="8" w:space="0"/>
              <w:bottom w:val="single" w:color="000000" w:sz="8" w:space="0"/>
              <w:right w:val="single" w:color="000000" w:sz="8" w:space="0"/>
            </w:tcBorders>
            <w:vAlign w:val="center"/>
          </w:tcPr>
          <w:p w14:paraId="705BB87E">
            <w:pPr>
              <w:widowControl/>
              <w:spacing w:line="32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885" w:type="dxa"/>
            <w:vMerge w:val="restart"/>
            <w:tcBorders>
              <w:top w:val="nil"/>
              <w:left w:val="nil"/>
              <w:bottom w:val="single" w:color="000000" w:sz="8" w:space="0"/>
              <w:right w:val="single" w:color="000000" w:sz="8" w:space="0"/>
            </w:tcBorders>
            <w:vAlign w:val="center"/>
          </w:tcPr>
          <w:p w14:paraId="09C1A034">
            <w:pPr>
              <w:widowControl/>
              <w:spacing w:line="28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保安</w:t>
            </w:r>
            <w:r>
              <w:rPr>
                <w:rStyle w:val="161"/>
                <w:rFonts w:hint="default"/>
                <w:sz w:val="13"/>
                <w:szCs w:val="13"/>
                <w:lang w:bidi="ar"/>
              </w:rPr>
              <w:t>（含保安队长）</w:t>
            </w:r>
          </w:p>
        </w:tc>
        <w:tc>
          <w:tcPr>
            <w:tcW w:w="1714" w:type="dxa"/>
            <w:tcBorders>
              <w:top w:val="nil"/>
              <w:left w:val="nil"/>
              <w:bottom w:val="single" w:color="000000" w:sz="8" w:space="0"/>
              <w:right w:val="single" w:color="000000" w:sz="8" w:space="0"/>
            </w:tcBorders>
            <w:vAlign w:val="center"/>
          </w:tcPr>
          <w:p w14:paraId="642BAA0E">
            <w:pPr>
              <w:widowControl/>
              <w:spacing w:line="280" w:lineRule="exac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安全消防监控</w:t>
            </w:r>
          </w:p>
        </w:tc>
        <w:tc>
          <w:tcPr>
            <w:tcW w:w="887" w:type="dxa"/>
            <w:vMerge w:val="restart"/>
            <w:tcBorders>
              <w:top w:val="nil"/>
              <w:left w:val="nil"/>
              <w:bottom w:val="single" w:color="000000" w:sz="8" w:space="0"/>
              <w:right w:val="single" w:color="000000" w:sz="8" w:space="0"/>
            </w:tcBorders>
            <w:vAlign w:val="center"/>
          </w:tcPr>
          <w:p w14:paraId="7A27B9A4">
            <w:pPr>
              <w:widowControl/>
              <w:spacing w:line="280" w:lineRule="exac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12名</w:t>
            </w:r>
          </w:p>
        </w:tc>
        <w:tc>
          <w:tcPr>
            <w:tcW w:w="4845" w:type="dxa"/>
            <w:tcBorders>
              <w:top w:val="nil"/>
              <w:left w:val="nil"/>
              <w:bottom w:val="single" w:color="000000" w:sz="8" w:space="0"/>
              <w:right w:val="single" w:color="000000" w:sz="8" w:space="0"/>
            </w:tcBorders>
            <w:vAlign w:val="center"/>
          </w:tcPr>
          <w:p w14:paraId="6109D19F">
            <w:pPr>
              <w:widowControl/>
              <w:spacing w:line="280" w:lineRule="exac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24小时，按消防值班标准要求配备，配合工程及安保人员负责全院所有消防设施及消防器材巡视、巡检工作。</w:t>
            </w:r>
          </w:p>
        </w:tc>
      </w:tr>
      <w:tr w14:paraId="5501D2E4">
        <w:tblPrEx>
          <w:tblCellMar>
            <w:top w:w="0" w:type="dxa"/>
            <w:left w:w="108" w:type="dxa"/>
            <w:bottom w:w="0" w:type="dxa"/>
            <w:right w:w="108" w:type="dxa"/>
          </w:tblCellMar>
        </w:tblPrEx>
        <w:trPr>
          <w:trHeight w:val="708" w:hRule="atLeast"/>
        </w:trPr>
        <w:tc>
          <w:tcPr>
            <w:tcW w:w="663" w:type="dxa"/>
            <w:tcBorders>
              <w:top w:val="nil"/>
              <w:left w:val="single" w:color="000000" w:sz="8" w:space="0"/>
              <w:bottom w:val="single" w:color="000000" w:sz="8" w:space="0"/>
              <w:right w:val="single" w:color="000000" w:sz="8" w:space="0"/>
            </w:tcBorders>
            <w:vAlign w:val="center"/>
          </w:tcPr>
          <w:p w14:paraId="496E88E0">
            <w:pPr>
              <w:widowControl/>
              <w:spacing w:line="320" w:lineRule="exact"/>
              <w:textAlignment w:val="center"/>
              <w:rPr>
                <w:rFonts w:ascii="宋体" w:hAnsi="宋体" w:cs="宋体"/>
                <w:color w:val="000000"/>
                <w:sz w:val="20"/>
                <w:szCs w:val="20"/>
              </w:rPr>
            </w:pPr>
          </w:p>
        </w:tc>
        <w:tc>
          <w:tcPr>
            <w:tcW w:w="885" w:type="dxa"/>
            <w:vMerge w:val="continue"/>
            <w:tcBorders>
              <w:top w:val="nil"/>
              <w:left w:val="nil"/>
              <w:bottom w:val="single" w:color="000000" w:sz="8" w:space="0"/>
              <w:right w:val="single" w:color="000000" w:sz="8" w:space="0"/>
            </w:tcBorders>
            <w:vAlign w:val="center"/>
          </w:tcPr>
          <w:p w14:paraId="3085C953">
            <w:pPr>
              <w:widowControl/>
              <w:spacing w:line="280" w:lineRule="exact"/>
              <w:jc w:val="center"/>
              <w:rPr>
                <w:rFonts w:ascii="宋体" w:hAnsi="宋体" w:cs="宋体"/>
                <w:color w:val="000000"/>
                <w:sz w:val="20"/>
                <w:szCs w:val="20"/>
              </w:rPr>
            </w:pPr>
          </w:p>
        </w:tc>
        <w:tc>
          <w:tcPr>
            <w:tcW w:w="1714" w:type="dxa"/>
            <w:tcBorders>
              <w:top w:val="nil"/>
              <w:left w:val="nil"/>
              <w:bottom w:val="single" w:color="000000" w:sz="8" w:space="0"/>
              <w:right w:val="single" w:color="000000" w:sz="8" w:space="0"/>
            </w:tcBorders>
            <w:vAlign w:val="center"/>
          </w:tcPr>
          <w:p w14:paraId="178947BA">
            <w:pPr>
              <w:widowControl/>
              <w:spacing w:line="280" w:lineRule="exac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全院安全巡逻及车辆管理、门卫</w:t>
            </w:r>
          </w:p>
        </w:tc>
        <w:tc>
          <w:tcPr>
            <w:tcW w:w="887" w:type="dxa"/>
            <w:vMerge w:val="continue"/>
            <w:tcBorders>
              <w:top w:val="nil"/>
              <w:left w:val="nil"/>
              <w:bottom w:val="single" w:color="000000" w:sz="8" w:space="0"/>
              <w:right w:val="single" w:color="000000" w:sz="8" w:space="0"/>
            </w:tcBorders>
            <w:vAlign w:val="center"/>
          </w:tcPr>
          <w:p w14:paraId="0891647E">
            <w:pPr>
              <w:widowControl/>
              <w:spacing w:line="280" w:lineRule="exact"/>
              <w:textAlignment w:val="center"/>
              <w:rPr>
                <w:rFonts w:ascii="宋体" w:hAnsi="宋体" w:cs="宋体"/>
                <w:color w:val="000000"/>
                <w:kern w:val="0"/>
                <w:sz w:val="20"/>
                <w:szCs w:val="20"/>
                <w:lang w:bidi="ar"/>
              </w:rPr>
            </w:pPr>
          </w:p>
        </w:tc>
        <w:tc>
          <w:tcPr>
            <w:tcW w:w="4845" w:type="dxa"/>
            <w:tcBorders>
              <w:top w:val="nil"/>
              <w:left w:val="nil"/>
              <w:bottom w:val="single" w:color="000000" w:sz="8" w:space="0"/>
              <w:right w:val="single" w:color="000000" w:sz="8" w:space="0"/>
            </w:tcBorders>
            <w:vAlign w:val="center"/>
          </w:tcPr>
          <w:p w14:paraId="4CC8F8E9">
            <w:pPr>
              <w:widowControl/>
              <w:spacing w:line="280" w:lineRule="exac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24小时，负责全院车辆管理、疫情防控、巡视巡检、突发事件处理等所有秩序维护等相关工作。</w:t>
            </w:r>
          </w:p>
        </w:tc>
      </w:tr>
      <w:tr w14:paraId="4E323C95">
        <w:tblPrEx>
          <w:tblCellMar>
            <w:top w:w="0" w:type="dxa"/>
            <w:left w:w="108" w:type="dxa"/>
            <w:bottom w:w="0" w:type="dxa"/>
            <w:right w:w="108" w:type="dxa"/>
          </w:tblCellMar>
        </w:tblPrEx>
        <w:trPr>
          <w:trHeight w:val="1227" w:hRule="atLeast"/>
        </w:trPr>
        <w:tc>
          <w:tcPr>
            <w:tcW w:w="663" w:type="dxa"/>
            <w:tcBorders>
              <w:top w:val="nil"/>
              <w:left w:val="single" w:color="000000" w:sz="8" w:space="0"/>
              <w:bottom w:val="single" w:color="000000" w:sz="8" w:space="0"/>
              <w:right w:val="single" w:color="000000" w:sz="8" w:space="0"/>
            </w:tcBorders>
            <w:vAlign w:val="center"/>
          </w:tcPr>
          <w:p w14:paraId="42046346">
            <w:pPr>
              <w:widowControl/>
              <w:spacing w:line="32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885" w:type="dxa"/>
            <w:tcBorders>
              <w:top w:val="nil"/>
              <w:left w:val="nil"/>
              <w:bottom w:val="single" w:color="000000" w:sz="8" w:space="0"/>
              <w:right w:val="single" w:color="000000" w:sz="8" w:space="0"/>
            </w:tcBorders>
            <w:vAlign w:val="center"/>
          </w:tcPr>
          <w:p w14:paraId="3D61443B">
            <w:pPr>
              <w:widowControl/>
              <w:spacing w:line="280" w:lineRule="exact"/>
              <w:jc w:val="center"/>
              <w:textAlignment w:val="center"/>
              <w:rPr>
                <w:rFonts w:ascii="宋体" w:hAnsi="宋体" w:cs="宋体"/>
                <w:color w:val="000000"/>
                <w:sz w:val="20"/>
                <w:szCs w:val="20"/>
              </w:rPr>
            </w:pPr>
            <w:r>
              <w:rPr>
                <w:rStyle w:val="246"/>
                <w:rFonts w:hint="default"/>
                <w:sz w:val="20"/>
                <w:szCs w:val="20"/>
                <w:lang w:bidi="ar"/>
              </w:rPr>
              <w:t>工程           维修</w:t>
            </w:r>
            <w:r>
              <w:rPr>
                <w:rStyle w:val="161"/>
                <w:rFonts w:hint="default"/>
                <w:sz w:val="13"/>
                <w:szCs w:val="13"/>
                <w:lang w:bidi="ar"/>
              </w:rPr>
              <w:t>（含水电班长1名）</w:t>
            </w:r>
          </w:p>
        </w:tc>
        <w:tc>
          <w:tcPr>
            <w:tcW w:w="1714" w:type="dxa"/>
            <w:tcBorders>
              <w:top w:val="nil"/>
              <w:left w:val="nil"/>
              <w:bottom w:val="single" w:color="000000" w:sz="8" w:space="0"/>
              <w:right w:val="single" w:color="000000" w:sz="8" w:space="0"/>
            </w:tcBorders>
            <w:vAlign w:val="center"/>
          </w:tcPr>
          <w:p w14:paraId="57835011">
            <w:pPr>
              <w:widowControl/>
              <w:spacing w:line="280" w:lineRule="exac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高压配电巡视及综合工程维修</w:t>
            </w:r>
          </w:p>
        </w:tc>
        <w:tc>
          <w:tcPr>
            <w:tcW w:w="887" w:type="dxa"/>
            <w:tcBorders>
              <w:top w:val="nil"/>
              <w:left w:val="nil"/>
              <w:bottom w:val="single" w:color="000000" w:sz="8" w:space="0"/>
              <w:right w:val="single" w:color="000000" w:sz="8" w:space="0"/>
            </w:tcBorders>
            <w:vAlign w:val="center"/>
          </w:tcPr>
          <w:p w14:paraId="63A384B3">
            <w:pPr>
              <w:widowControl/>
              <w:spacing w:line="280" w:lineRule="exac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4名</w:t>
            </w:r>
          </w:p>
        </w:tc>
        <w:tc>
          <w:tcPr>
            <w:tcW w:w="4845" w:type="dxa"/>
            <w:tcBorders>
              <w:top w:val="nil"/>
              <w:left w:val="nil"/>
              <w:bottom w:val="single" w:color="000000" w:sz="8" w:space="0"/>
              <w:right w:val="single" w:color="000000" w:sz="8" w:space="0"/>
            </w:tcBorders>
            <w:vAlign w:val="center"/>
          </w:tcPr>
          <w:p w14:paraId="1326AFC8">
            <w:pPr>
              <w:widowControl/>
              <w:spacing w:line="280" w:lineRule="exac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24小时值班制，负责全院水、电、气值班及应急工作，负责全院零星维修工作，负责配电房、气体机房、水泵房等所有设备机房、配电室（间）弱电室（间）巡视巡检工作；高压配电值班工作。</w:t>
            </w:r>
          </w:p>
        </w:tc>
      </w:tr>
      <w:tr w14:paraId="040DC66D">
        <w:tblPrEx>
          <w:tblCellMar>
            <w:top w:w="0" w:type="dxa"/>
            <w:left w:w="108" w:type="dxa"/>
            <w:bottom w:w="0" w:type="dxa"/>
            <w:right w:w="108" w:type="dxa"/>
          </w:tblCellMar>
        </w:tblPrEx>
        <w:trPr>
          <w:trHeight w:val="570" w:hRule="atLeast"/>
        </w:trPr>
        <w:tc>
          <w:tcPr>
            <w:tcW w:w="663" w:type="dxa"/>
            <w:tcBorders>
              <w:top w:val="nil"/>
              <w:left w:val="single" w:color="000000" w:sz="8" w:space="0"/>
              <w:bottom w:val="single" w:color="000000" w:sz="8" w:space="0"/>
              <w:right w:val="single" w:color="000000" w:sz="8" w:space="0"/>
            </w:tcBorders>
            <w:vAlign w:val="center"/>
          </w:tcPr>
          <w:p w14:paraId="784B116B">
            <w:pPr>
              <w:widowControl/>
              <w:spacing w:line="320" w:lineRule="exact"/>
              <w:jc w:val="center"/>
              <w:textAlignment w:val="center"/>
              <w:rPr>
                <w:rFonts w:ascii="宋体" w:hAnsi="宋体" w:cs="宋体"/>
                <w:color w:val="000000"/>
                <w:sz w:val="20"/>
                <w:szCs w:val="20"/>
              </w:rPr>
            </w:pPr>
            <w:r>
              <w:rPr>
                <w:rFonts w:hint="eastAsia" w:ascii="宋体" w:hAnsi="宋体" w:cs="宋体"/>
                <w:color w:val="000000"/>
                <w:sz w:val="20"/>
                <w:szCs w:val="20"/>
              </w:rPr>
              <w:t>19</w:t>
            </w:r>
          </w:p>
        </w:tc>
        <w:tc>
          <w:tcPr>
            <w:tcW w:w="2599" w:type="dxa"/>
            <w:gridSpan w:val="2"/>
            <w:tcBorders>
              <w:top w:val="nil"/>
              <w:left w:val="nil"/>
              <w:bottom w:val="single" w:color="000000" w:sz="8" w:space="0"/>
              <w:right w:val="single" w:color="000000" w:sz="8" w:space="0"/>
            </w:tcBorders>
            <w:vAlign w:val="center"/>
          </w:tcPr>
          <w:p w14:paraId="72E82849">
            <w:pPr>
              <w:widowControl/>
              <w:spacing w:line="320" w:lineRule="exact"/>
              <w:jc w:val="center"/>
              <w:textAlignment w:val="center"/>
              <w:rPr>
                <w:rFonts w:ascii="宋体" w:hAnsi="宋体" w:cs="宋体"/>
                <w:color w:val="000000"/>
                <w:sz w:val="20"/>
                <w:szCs w:val="20"/>
              </w:rPr>
            </w:pPr>
            <w:r>
              <w:rPr>
                <w:rStyle w:val="246"/>
                <w:rFonts w:hint="default"/>
                <w:sz w:val="20"/>
                <w:szCs w:val="20"/>
                <w:lang w:bidi="ar"/>
              </w:rPr>
              <w:t>合     计</w:t>
            </w:r>
          </w:p>
        </w:tc>
        <w:tc>
          <w:tcPr>
            <w:tcW w:w="887" w:type="dxa"/>
            <w:tcBorders>
              <w:top w:val="nil"/>
              <w:left w:val="nil"/>
              <w:bottom w:val="single" w:color="000000" w:sz="8" w:space="0"/>
              <w:right w:val="single" w:color="000000" w:sz="8" w:space="0"/>
            </w:tcBorders>
            <w:vAlign w:val="center"/>
          </w:tcPr>
          <w:p w14:paraId="4F5E6072">
            <w:pPr>
              <w:widowControl/>
              <w:spacing w:line="32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29名</w:t>
            </w:r>
          </w:p>
        </w:tc>
        <w:tc>
          <w:tcPr>
            <w:tcW w:w="4845" w:type="dxa"/>
            <w:tcBorders>
              <w:top w:val="nil"/>
              <w:left w:val="nil"/>
              <w:bottom w:val="single" w:color="000000" w:sz="8" w:space="0"/>
              <w:right w:val="single" w:color="000000" w:sz="8" w:space="0"/>
            </w:tcBorders>
            <w:vAlign w:val="center"/>
          </w:tcPr>
          <w:p w14:paraId="72A6CCDA">
            <w:pPr>
              <w:widowControl/>
              <w:spacing w:line="320" w:lineRule="exact"/>
              <w:rPr>
                <w:rFonts w:ascii="宋体" w:hAnsi="宋体" w:cs="宋体"/>
                <w:color w:val="000000"/>
                <w:sz w:val="18"/>
                <w:szCs w:val="18"/>
              </w:rPr>
            </w:pPr>
          </w:p>
        </w:tc>
      </w:tr>
    </w:tbl>
    <w:p w14:paraId="1F82078F">
      <w:pPr>
        <w:spacing w:line="320" w:lineRule="exact"/>
        <w:rPr>
          <w:rFonts w:ascii="宋体" w:hAnsi="宋体" w:cs="宋体"/>
        </w:rPr>
      </w:pPr>
    </w:p>
    <w:p w14:paraId="5A68C91F">
      <w:pPr>
        <w:pStyle w:val="101"/>
        <w:spacing w:line="500" w:lineRule="exact"/>
        <w:ind w:left="479"/>
        <w:rPr>
          <w:rStyle w:val="186"/>
          <w:rFonts w:ascii="宋体" w:hAnsi="宋体" w:cs="宋体"/>
          <w:color w:val="000000"/>
          <w:sz w:val="24"/>
          <w:szCs w:val="24"/>
        </w:rPr>
      </w:pPr>
      <w:r>
        <w:rPr>
          <w:rStyle w:val="186"/>
          <w:rFonts w:hint="eastAsia" w:ascii="宋体" w:hAnsi="宋体" w:cs="宋体"/>
          <w:color w:val="000000"/>
          <w:sz w:val="24"/>
          <w:szCs w:val="24"/>
        </w:rPr>
        <w:t>注：1、合同期间，采购人可以对服务人员数量进行调整，最终按调整后实际人员</w:t>
      </w:r>
    </w:p>
    <w:p w14:paraId="00F891BE">
      <w:pPr>
        <w:pStyle w:val="101"/>
        <w:spacing w:line="500" w:lineRule="exact"/>
        <w:rPr>
          <w:rStyle w:val="186"/>
          <w:rFonts w:ascii="宋体" w:hAnsi="宋体" w:cs="宋体"/>
          <w:color w:val="000000"/>
          <w:sz w:val="24"/>
          <w:szCs w:val="24"/>
        </w:rPr>
      </w:pPr>
      <w:r>
        <w:rPr>
          <w:rStyle w:val="186"/>
          <w:rFonts w:hint="eastAsia" w:ascii="宋体" w:hAnsi="宋体" w:cs="宋体"/>
          <w:color w:val="000000"/>
          <w:sz w:val="24"/>
          <w:szCs w:val="24"/>
        </w:rPr>
        <w:t>数量支付服务费用，物业公司必须服从。</w:t>
      </w:r>
    </w:p>
    <w:p w14:paraId="5AFBD394">
      <w:pPr>
        <w:pStyle w:val="249"/>
        <w:spacing w:before="156" w:after="156" w:line="440" w:lineRule="exact"/>
        <w:ind w:firstLine="480"/>
        <w:rPr>
          <w:rStyle w:val="186"/>
          <w:rFonts w:ascii="宋体" w:hAnsi="宋体" w:cs="宋体"/>
          <w:color w:val="000000"/>
          <w:sz w:val="24"/>
        </w:rPr>
      </w:pPr>
      <w:r>
        <w:rPr>
          <w:rStyle w:val="186"/>
          <w:rFonts w:hint="eastAsia" w:ascii="宋体" w:hAnsi="宋体" w:cs="宋体"/>
          <w:color w:val="000000"/>
          <w:sz w:val="24"/>
        </w:rPr>
        <w:t>2、上述人员配置是按医院现状服务需求配置，如医院科室后期有增量需求（临时应急增加除外），则按实际到岗人员据实结算。增加部分总量不得超出合同价的10%。</w:t>
      </w:r>
    </w:p>
    <w:p w14:paraId="09F0BF65">
      <w:pPr>
        <w:pStyle w:val="101"/>
        <w:spacing w:line="400" w:lineRule="exact"/>
        <w:rPr>
          <w:rStyle w:val="186"/>
          <w:rFonts w:ascii="宋体" w:hAnsi="宋体" w:cs="宋体"/>
          <w:b/>
          <w:bCs/>
          <w:color w:val="000000"/>
          <w:sz w:val="24"/>
          <w:szCs w:val="24"/>
        </w:rPr>
      </w:pPr>
      <w:r>
        <w:rPr>
          <w:rStyle w:val="186"/>
          <w:rFonts w:hint="eastAsia" w:ascii="宋体" w:hAnsi="宋体" w:cs="宋体"/>
          <w:b/>
          <w:bCs/>
          <w:color w:val="000000"/>
          <w:sz w:val="24"/>
          <w:szCs w:val="24"/>
        </w:rPr>
        <w:t>（二）后勤服务部分设施清单要求（★投标时须</w:t>
      </w:r>
      <w:r>
        <w:rPr>
          <w:rStyle w:val="186"/>
          <w:rFonts w:hint="eastAsia" w:ascii="宋体" w:hAnsi="宋体" w:cs="宋体"/>
          <w:b/>
          <w:bCs/>
          <w:color w:val="FF0000"/>
          <w:sz w:val="24"/>
          <w:szCs w:val="24"/>
        </w:rPr>
        <w:t>响应并承诺</w:t>
      </w:r>
      <w:r>
        <w:rPr>
          <w:rStyle w:val="186"/>
          <w:rFonts w:hint="eastAsia" w:ascii="宋体" w:hAnsi="宋体" w:cs="宋体"/>
          <w:b/>
          <w:bCs/>
          <w:color w:val="000000"/>
          <w:sz w:val="24"/>
          <w:szCs w:val="24"/>
        </w:rPr>
        <w:t>提供，否则视为无效标，中标合同签订后须执行）</w:t>
      </w:r>
    </w:p>
    <w:tbl>
      <w:tblPr>
        <w:tblStyle w:val="250"/>
        <w:tblpPr w:leftFromText="180" w:rightFromText="180" w:vertAnchor="text" w:horzAnchor="page" w:tblpX="1412" w:tblpY="401"/>
        <w:tblW w:w="90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7"/>
        <w:gridCol w:w="3225"/>
        <w:gridCol w:w="675"/>
        <w:gridCol w:w="750"/>
        <w:gridCol w:w="3800"/>
      </w:tblGrid>
      <w:tr w14:paraId="6A97C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 w:type="dxa"/>
            <w:vAlign w:val="center"/>
          </w:tcPr>
          <w:p w14:paraId="73EB3079">
            <w:pPr>
              <w:pStyle w:val="148"/>
              <w:spacing w:line="400" w:lineRule="exact"/>
              <w:jc w:val="center"/>
              <w:rPr>
                <w:rFonts w:ascii="宋体" w:hAnsi="宋体" w:cs="宋体"/>
                <w:color w:val="000000"/>
                <w:sz w:val="20"/>
                <w:szCs w:val="20"/>
                <w:lang w:bidi="ar"/>
              </w:rPr>
            </w:pPr>
            <w:r>
              <w:rPr>
                <w:rFonts w:hint="eastAsia" w:ascii="宋体" w:hAnsi="宋体" w:eastAsia="宋体" w:cs="宋体"/>
                <w:color w:val="000000"/>
                <w:sz w:val="20"/>
                <w:szCs w:val="20"/>
                <w:lang w:bidi="ar"/>
              </w:rPr>
              <w:t>序号</w:t>
            </w:r>
          </w:p>
        </w:tc>
        <w:tc>
          <w:tcPr>
            <w:tcW w:w="3225" w:type="dxa"/>
            <w:vAlign w:val="center"/>
          </w:tcPr>
          <w:p w14:paraId="20AF874C">
            <w:pPr>
              <w:pStyle w:val="148"/>
              <w:spacing w:line="400" w:lineRule="exact"/>
              <w:jc w:val="center"/>
              <w:rPr>
                <w:rFonts w:ascii="宋体" w:hAnsi="宋体" w:cs="宋体"/>
                <w:color w:val="000000"/>
                <w:sz w:val="20"/>
                <w:szCs w:val="20"/>
                <w:lang w:bidi="ar"/>
              </w:rPr>
            </w:pPr>
            <w:r>
              <w:rPr>
                <w:rFonts w:hint="eastAsia" w:ascii="宋体" w:hAnsi="宋体" w:eastAsia="宋体" w:cs="宋体"/>
                <w:color w:val="000000"/>
                <w:sz w:val="20"/>
                <w:szCs w:val="20"/>
                <w:lang w:bidi="ar"/>
              </w:rPr>
              <w:t>设施设备耗材名称</w:t>
            </w:r>
          </w:p>
        </w:tc>
        <w:tc>
          <w:tcPr>
            <w:tcW w:w="675" w:type="dxa"/>
            <w:vAlign w:val="center"/>
          </w:tcPr>
          <w:p w14:paraId="08E63379">
            <w:pPr>
              <w:pStyle w:val="148"/>
              <w:spacing w:line="400" w:lineRule="exact"/>
              <w:rPr>
                <w:rFonts w:ascii="宋体" w:hAnsi="宋体" w:cs="宋体"/>
                <w:color w:val="000000"/>
                <w:sz w:val="20"/>
                <w:szCs w:val="20"/>
                <w:lang w:bidi="ar"/>
              </w:rPr>
            </w:pPr>
            <w:r>
              <w:rPr>
                <w:rFonts w:hint="eastAsia" w:ascii="宋体" w:hAnsi="宋体" w:eastAsia="宋体" w:cs="宋体"/>
                <w:color w:val="000000"/>
                <w:sz w:val="20"/>
                <w:szCs w:val="20"/>
                <w:lang w:bidi="ar"/>
              </w:rPr>
              <w:t>数量</w:t>
            </w:r>
          </w:p>
        </w:tc>
        <w:tc>
          <w:tcPr>
            <w:tcW w:w="750" w:type="dxa"/>
            <w:vAlign w:val="center"/>
          </w:tcPr>
          <w:p w14:paraId="025159AA">
            <w:pPr>
              <w:pStyle w:val="148"/>
              <w:spacing w:line="400" w:lineRule="exact"/>
              <w:jc w:val="center"/>
              <w:rPr>
                <w:rFonts w:ascii="宋体" w:hAnsi="宋体" w:cs="宋体"/>
                <w:color w:val="000000"/>
                <w:sz w:val="20"/>
                <w:szCs w:val="20"/>
                <w:lang w:bidi="ar"/>
              </w:rPr>
            </w:pPr>
            <w:r>
              <w:rPr>
                <w:rFonts w:hint="eastAsia" w:ascii="宋体" w:hAnsi="宋体" w:eastAsia="宋体" w:cs="宋体"/>
                <w:color w:val="000000"/>
                <w:sz w:val="20"/>
                <w:szCs w:val="20"/>
                <w:lang w:bidi="ar"/>
              </w:rPr>
              <w:t>单位</w:t>
            </w:r>
          </w:p>
        </w:tc>
        <w:tc>
          <w:tcPr>
            <w:tcW w:w="3800" w:type="dxa"/>
            <w:vAlign w:val="center"/>
          </w:tcPr>
          <w:p w14:paraId="05E984C9">
            <w:pPr>
              <w:pStyle w:val="148"/>
              <w:spacing w:line="400" w:lineRule="exact"/>
              <w:jc w:val="center"/>
              <w:rPr>
                <w:rFonts w:ascii="宋体" w:hAnsi="宋体" w:cs="宋体"/>
                <w:color w:val="000000"/>
                <w:sz w:val="20"/>
                <w:szCs w:val="20"/>
                <w:lang w:bidi="ar"/>
              </w:rPr>
            </w:pPr>
            <w:r>
              <w:rPr>
                <w:rFonts w:hint="eastAsia" w:ascii="宋体" w:hAnsi="宋体" w:eastAsia="宋体" w:cs="宋体"/>
                <w:color w:val="000000"/>
                <w:sz w:val="20"/>
                <w:szCs w:val="20"/>
                <w:lang w:bidi="ar"/>
              </w:rPr>
              <w:t>备注</w:t>
            </w:r>
          </w:p>
        </w:tc>
      </w:tr>
      <w:tr w14:paraId="1E795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 w:type="dxa"/>
          </w:tcPr>
          <w:p w14:paraId="5B704142">
            <w:pPr>
              <w:pStyle w:val="101"/>
              <w:spacing w:line="400" w:lineRule="exact"/>
              <w:ind w:firstLine="240"/>
              <w:rPr>
                <w:rFonts w:ascii="宋体" w:hAnsi="宋体" w:cs="宋体"/>
                <w:color w:val="000000"/>
                <w:sz w:val="18"/>
                <w:szCs w:val="18"/>
                <w:lang w:bidi="ar"/>
              </w:rPr>
            </w:pPr>
            <w:r>
              <w:rPr>
                <w:rFonts w:hint="eastAsia" w:ascii="宋体" w:hAnsi="宋体" w:cs="宋体"/>
                <w:color w:val="000000"/>
                <w:kern w:val="0"/>
                <w:sz w:val="18"/>
                <w:szCs w:val="18"/>
                <w:lang w:bidi="ar"/>
              </w:rPr>
              <w:t>1</w:t>
            </w:r>
          </w:p>
        </w:tc>
        <w:tc>
          <w:tcPr>
            <w:tcW w:w="3225" w:type="dxa"/>
          </w:tcPr>
          <w:p w14:paraId="7C8469F3">
            <w:pPr>
              <w:pStyle w:val="101"/>
              <w:spacing w:line="400" w:lineRule="exact"/>
              <w:rPr>
                <w:rFonts w:ascii="宋体" w:hAnsi="宋体" w:cs="宋体"/>
                <w:color w:val="000000"/>
                <w:sz w:val="18"/>
                <w:szCs w:val="18"/>
                <w:lang w:bidi="ar"/>
              </w:rPr>
            </w:pPr>
            <w:r>
              <w:rPr>
                <w:rFonts w:hint="eastAsia" w:ascii="宋体" w:hAnsi="宋体" w:cs="宋体"/>
                <w:color w:val="000000"/>
                <w:kern w:val="0"/>
                <w:sz w:val="18"/>
                <w:szCs w:val="18"/>
                <w:lang w:bidi="ar"/>
              </w:rPr>
              <w:t>洗地机（全自动）</w:t>
            </w:r>
          </w:p>
        </w:tc>
        <w:tc>
          <w:tcPr>
            <w:tcW w:w="675" w:type="dxa"/>
          </w:tcPr>
          <w:p w14:paraId="7EE17B78">
            <w:pPr>
              <w:pStyle w:val="101"/>
              <w:spacing w:line="400" w:lineRule="exact"/>
              <w:ind w:firstLine="240"/>
              <w:rPr>
                <w:rFonts w:ascii="宋体" w:hAnsi="宋体" w:cs="宋体"/>
                <w:color w:val="000000"/>
                <w:sz w:val="18"/>
                <w:szCs w:val="18"/>
                <w:lang w:bidi="ar"/>
              </w:rPr>
            </w:pPr>
            <w:r>
              <w:rPr>
                <w:rFonts w:hint="eastAsia" w:ascii="宋体" w:hAnsi="宋体" w:cs="宋体"/>
                <w:color w:val="000000"/>
                <w:kern w:val="0"/>
                <w:sz w:val="18"/>
                <w:szCs w:val="18"/>
                <w:lang w:bidi="ar"/>
              </w:rPr>
              <w:t>2</w:t>
            </w:r>
          </w:p>
        </w:tc>
        <w:tc>
          <w:tcPr>
            <w:tcW w:w="750" w:type="dxa"/>
          </w:tcPr>
          <w:p w14:paraId="2B4AB5E3">
            <w:pPr>
              <w:pStyle w:val="101"/>
              <w:spacing w:line="400" w:lineRule="exact"/>
              <w:ind w:firstLine="180" w:firstLineChars="100"/>
              <w:rPr>
                <w:rFonts w:ascii="宋体" w:hAnsi="宋体" w:cs="宋体"/>
                <w:color w:val="000000"/>
                <w:sz w:val="18"/>
                <w:szCs w:val="18"/>
                <w:lang w:bidi="ar"/>
              </w:rPr>
            </w:pPr>
            <w:r>
              <w:rPr>
                <w:rFonts w:hint="eastAsia" w:ascii="宋体" w:hAnsi="宋体" w:cs="宋体"/>
                <w:color w:val="000000"/>
                <w:kern w:val="0"/>
                <w:sz w:val="18"/>
                <w:szCs w:val="18"/>
                <w:lang w:bidi="ar"/>
              </w:rPr>
              <w:t>台</w:t>
            </w:r>
          </w:p>
        </w:tc>
        <w:tc>
          <w:tcPr>
            <w:tcW w:w="3800" w:type="dxa"/>
          </w:tcPr>
          <w:p w14:paraId="6C3092B7">
            <w:pPr>
              <w:pStyle w:val="101"/>
              <w:spacing w:line="400" w:lineRule="exact"/>
              <w:rPr>
                <w:rFonts w:ascii="宋体" w:hAnsi="宋体" w:cs="宋体"/>
                <w:color w:val="000000"/>
                <w:sz w:val="18"/>
                <w:szCs w:val="18"/>
                <w:lang w:bidi="ar"/>
              </w:rPr>
            </w:pPr>
            <w:r>
              <w:rPr>
                <w:rFonts w:hint="eastAsia" w:ascii="宋体" w:hAnsi="宋体" w:cs="宋体"/>
                <w:color w:val="000000"/>
                <w:kern w:val="0"/>
                <w:sz w:val="18"/>
                <w:szCs w:val="18"/>
                <w:lang w:bidi="ar"/>
              </w:rPr>
              <w:t xml:space="preserve"> 烘干、除菌、延边清扫，机身重量≥150公斤/台</w:t>
            </w:r>
          </w:p>
        </w:tc>
      </w:tr>
      <w:tr w14:paraId="2E995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 w:type="dxa"/>
          </w:tcPr>
          <w:p w14:paraId="309AB9A3">
            <w:pPr>
              <w:pStyle w:val="101"/>
              <w:spacing w:line="400" w:lineRule="exact"/>
              <w:ind w:firstLine="240"/>
              <w:rPr>
                <w:rFonts w:ascii="宋体" w:hAnsi="宋体" w:cs="宋体"/>
                <w:color w:val="000000"/>
                <w:sz w:val="18"/>
                <w:szCs w:val="18"/>
                <w:lang w:bidi="ar"/>
              </w:rPr>
            </w:pPr>
            <w:r>
              <w:rPr>
                <w:rFonts w:hint="eastAsia" w:ascii="宋体" w:hAnsi="宋体" w:cs="宋体"/>
                <w:color w:val="000000"/>
                <w:kern w:val="0"/>
                <w:sz w:val="18"/>
                <w:szCs w:val="18"/>
                <w:lang w:bidi="ar"/>
              </w:rPr>
              <w:t>2</w:t>
            </w:r>
          </w:p>
        </w:tc>
        <w:tc>
          <w:tcPr>
            <w:tcW w:w="3225" w:type="dxa"/>
          </w:tcPr>
          <w:p w14:paraId="3AD065CD">
            <w:pPr>
              <w:pStyle w:val="101"/>
              <w:spacing w:line="400" w:lineRule="exact"/>
              <w:rPr>
                <w:rFonts w:ascii="宋体" w:hAnsi="宋体" w:cs="宋体"/>
                <w:color w:val="000000"/>
                <w:sz w:val="18"/>
                <w:szCs w:val="18"/>
                <w:lang w:bidi="ar"/>
              </w:rPr>
            </w:pPr>
            <w:r>
              <w:rPr>
                <w:rFonts w:hint="eastAsia" w:ascii="宋体" w:hAnsi="宋体" w:cs="宋体"/>
                <w:color w:val="000000"/>
                <w:kern w:val="0"/>
                <w:sz w:val="18"/>
                <w:szCs w:val="18"/>
                <w:lang w:bidi="ar"/>
              </w:rPr>
              <w:t>洗衣机（≥50公斤/台）（洗衣房）</w:t>
            </w:r>
          </w:p>
        </w:tc>
        <w:tc>
          <w:tcPr>
            <w:tcW w:w="675" w:type="dxa"/>
          </w:tcPr>
          <w:p w14:paraId="67DE3D2A">
            <w:pPr>
              <w:pStyle w:val="101"/>
              <w:spacing w:line="400" w:lineRule="exact"/>
              <w:ind w:firstLine="240"/>
              <w:rPr>
                <w:rFonts w:ascii="宋体" w:hAnsi="宋体" w:cs="宋体"/>
                <w:color w:val="000000"/>
                <w:sz w:val="18"/>
                <w:szCs w:val="18"/>
                <w:lang w:bidi="ar"/>
              </w:rPr>
            </w:pPr>
            <w:r>
              <w:rPr>
                <w:rFonts w:hint="eastAsia" w:ascii="宋体" w:hAnsi="宋体" w:cs="宋体"/>
                <w:color w:val="000000"/>
                <w:kern w:val="0"/>
                <w:sz w:val="18"/>
                <w:szCs w:val="18"/>
                <w:lang w:bidi="ar"/>
              </w:rPr>
              <w:t>2</w:t>
            </w:r>
          </w:p>
        </w:tc>
        <w:tc>
          <w:tcPr>
            <w:tcW w:w="750" w:type="dxa"/>
          </w:tcPr>
          <w:p w14:paraId="53DD7057">
            <w:pPr>
              <w:pStyle w:val="101"/>
              <w:spacing w:line="400" w:lineRule="exact"/>
              <w:ind w:firstLine="240"/>
              <w:rPr>
                <w:rFonts w:ascii="宋体" w:hAnsi="宋体" w:cs="宋体"/>
                <w:color w:val="000000"/>
                <w:sz w:val="18"/>
                <w:szCs w:val="18"/>
                <w:lang w:bidi="ar"/>
              </w:rPr>
            </w:pPr>
            <w:r>
              <w:rPr>
                <w:rFonts w:hint="eastAsia" w:ascii="宋体" w:hAnsi="宋体" w:cs="宋体"/>
                <w:color w:val="000000"/>
                <w:kern w:val="0"/>
                <w:sz w:val="18"/>
                <w:szCs w:val="18"/>
                <w:lang w:bidi="ar"/>
              </w:rPr>
              <w:t>台</w:t>
            </w:r>
          </w:p>
        </w:tc>
        <w:tc>
          <w:tcPr>
            <w:tcW w:w="3800" w:type="dxa"/>
          </w:tcPr>
          <w:p w14:paraId="712B8BA6">
            <w:pPr>
              <w:pStyle w:val="101"/>
              <w:spacing w:line="400" w:lineRule="exact"/>
              <w:rPr>
                <w:rFonts w:ascii="宋体" w:hAnsi="宋体" w:cs="宋体"/>
                <w:color w:val="000000"/>
                <w:sz w:val="18"/>
                <w:szCs w:val="18"/>
                <w:lang w:bidi="ar"/>
              </w:rPr>
            </w:pPr>
            <w:r>
              <w:rPr>
                <w:rFonts w:hint="eastAsia" w:ascii="宋体" w:hAnsi="宋体" w:cs="宋体"/>
                <w:color w:val="000000"/>
                <w:kern w:val="0"/>
                <w:sz w:val="18"/>
                <w:szCs w:val="18"/>
                <w:lang w:bidi="ar"/>
              </w:rPr>
              <w:t>单次洗消物品≥50公斤/台</w:t>
            </w:r>
          </w:p>
        </w:tc>
      </w:tr>
      <w:tr w14:paraId="2271B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 w:type="dxa"/>
            <w:vMerge w:val="restart"/>
          </w:tcPr>
          <w:p w14:paraId="4C5976E7">
            <w:pPr>
              <w:pStyle w:val="101"/>
              <w:spacing w:line="400" w:lineRule="exact"/>
              <w:ind w:firstLine="240"/>
              <w:rPr>
                <w:rFonts w:ascii="宋体" w:hAnsi="宋体" w:cs="宋体"/>
                <w:color w:val="000000"/>
                <w:sz w:val="18"/>
                <w:szCs w:val="18"/>
                <w:lang w:bidi="ar"/>
              </w:rPr>
            </w:pPr>
            <w:r>
              <w:rPr>
                <w:rFonts w:hint="eastAsia" w:ascii="宋体" w:hAnsi="宋体" w:cs="宋体"/>
                <w:color w:val="000000"/>
                <w:kern w:val="0"/>
                <w:sz w:val="18"/>
                <w:szCs w:val="18"/>
                <w:lang w:bidi="ar"/>
              </w:rPr>
              <w:t>3</w:t>
            </w:r>
          </w:p>
        </w:tc>
        <w:tc>
          <w:tcPr>
            <w:tcW w:w="3225" w:type="dxa"/>
            <w:vMerge w:val="restart"/>
          </w:tcPr>
          <w:p w14:paraId="1F33577C">
            <w:pPr>
              <w:pStyle w:val="101"/>
              <w:spacing w:line="400" w:lineRule="exact"/>
              <w:rPr>
                <w:rFonts w:ascii="宋体" w:hAnsi="宋体" w:cs="宋体"/>
                <w:color w:val="000000"/>
                <w:sz w:val="18"/>
                <w:szCs w:val="18"/>
                <w:lang w:bidi="ar"/>
              </w:rPr>
            </w:pPr>
            <w:r>
              <w:rPr>
                <w:rFonts w:hint="eastAsia" w:ascii="宋体" w:hAnsi="宋体" w:cs="宋体"/>
                <w:color w:val="000000"/>
                <w:kern w:val="0"/>
                <w:sz w:val="18"/>
                <w:szCs w:val="18"/>
                <w:lang w:bidi="ar"/>
              </w:rPr>
              <w:t xml:space="preserve">地面养护设备 </w:t>
            </w:r>
          </w:p>
        </w:tc>
        <w:tc>
          <w:tcPr>
            <w:tcW w:w="675" w:type="dxa"/>
          </w:tcPr>
          <w:p w14:paraId="0FAFE22D">
            <w:pPr>
              <w:pStyle w:val="101"/>
              <w:spacing w:line="400" w:lineRule="exact"/>
              <w:ind w:firstLine="240"/>
              <w:rPr>
                <w:rFonts w:ascii="宋体" w:hAnsi="宋体" w:cs="宋体"/>
                <w:color w:val="000000"/>
                <w:sz w:val="18"/>
                <w:szCs w:val="18"/>
                <w:lang w:bidi="ar"/>
              </w:rPr>
            </w:pPr>
            <w:r>
              <w:rPr>
                <w:rFonts w:hint="eastAsia" w:ascii="宋体" w:hAnsi="宋体" w:cs="宋体"/>
                <w:color w:val="000000"/>
                <w:kern w:val="0"/>
                <w:sz w:val="18"/>
                <w:szCs w:val="18"/>
                <w:lang w:bidi="ar"/>
              </w:rPr>
              <w:t>1</w:t>
            </w:r>
          </w:p>
        </w:tc>
        <w:tc>
          <w:tcPr>
            <w:tcW w:w="750" w:type="dxa"/>
          </w:tcPr>
          <w:p w14:paraId="69849FAD">
            <w:pPr>
              <w:pStyle w:val="101"/>
              <w:spacing w:line="400" w:lineRule="exact"/>
              <w:ind w:firstLine="240"/>
              <w:rPr>
                <w:rFonts w:ascii="宋体" w:hAnsi="宋体" w:cs="宋体"/>
                <w:color w:val="000000"/>
                <w:sz w:val="18"/>
                <w:szCs w:val="18"/>
                <w:lang w:bidi="ar"/>
              </w:rPr>
            </w:pPr>
            <w:r>
              <w:rPr>
                <w:rFonts w:hint="eastAsia" w:ascii="宋体" w:hAnsi="宋体" w:cs="宋体"/>
                <w:color w:val="000000"/>
                <w:kern w:val="0"/>
                <w:sz w:val="18"/>
                <w:szCs w:val="18"/>
                <w:lang w:bidi="ar"/>
              </w:rPr>
              <w:t>台</w:t>
            </w:r>
          </w:p>
        </w:tc>
        <w:tc>
          <w:tcPr>
            <w:tcW w:w="3800" w:type="dxa"/>
          </w:tcPr>
          <w:p w14:paraId="1FEEAD0E">
            <w:pPr>
              <w:pStyle w:val="101"/>
              <w:spacing w:line="400" w:lineRule="exact"/>
              <w:rPr>
                <w:rFonts w:ascii="宋体" w:hAnsi="宋体" w:cs="宋体"/>
                <w:color w:val="000000"/>
                <w:sz w:val="18"/>
                <w:szCs w:val="18"/>
                <w:lang w:bidi="ar"/>
              </w:rPr>
            </w:pPr>
            <w:r>
              <w:rPr>
                <w:rFonts w:hint="eastAsia" w:ascii="宋体" w:hAnsi="宋体" w:cs="宋体"/>
                <w:color w:val="000000"/>
                <w:kern w:val="0"/>
                <w:sz w:val="18"/>
                <w:szCs w:val="18"/>
                <w:lang w:bidi="ar"/>
              </w:rPr>
              <w:t>吸水吸尘机：吸尘干湿2式，功率≥4000W</w:t>
            </w:r>
          </w:p>
        </w:tc>
      </w:tr>
      <w:tr w14:paraId="69C1B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trPr>
        <w:tc>
          <w:tcPr>
            <w:tcW w:w="637" w:type="dxa"/>
            <w:vMerge w:val="continue"/>
          </w:tcPr>
          <w:p w14:paraId="7FE8D473">
            <w:pPr>
              <w:pStyle w:val="101"/>
              <w:spacing w:line="400" w:lineRule="exact"/>
              <w:ind w:firstLine="240"/>
              <w:rPr>
                <w:rFonts w:ascii="宋体" w:hAnsi="宋体" w:cs="宋体"/>
                <w:color w:val="000000"/>
                <w:sz w:val="18"/>
                <w:szCs w:val="18"/>
                <w:lang w:bidi="ar"/>
              </w:rPr>
            </w:pPr>
          </w:p>
        </w:tc>
        <w:tc>
          <w:tcPr>
            <w:tcW w:w="3225" w:type="dxa"/>
            <w:vMerge w:val="continue"/>
          </w:tcPr>
          <w:p w14:paraId="222B4BBF">
            <w:pPr>
              <w:pStyle w:val="101"/>
              <w:spacing w:line="400" w:lineRule="exact"/>
              <w:ind w:firstLine="240"/>
              <w:rPr>
                <w:rFonts w:ascii="宋体" w:hAnsi="宋体" w:cs="宋体"/>
                <w:color w:val="000000"/>
                <w:sz w:val="18"/>
                <w:szCs w:val="18"/>
                <w:lang w:bidi="ar"/>
              </w:rPr>
            </w:pPr>
          </w:p>
        </w:tc>
        <w:tc>
          <w:tcPr>
            <w:tcW w:w="675" w:type="dxa"/>
          </w:tcPr>
          <w:p w14:paraId="72059D8C">
            <w:pPr>
              <w:pStyle w:val="101"/>
              <w:spacing w:line="400" w:lineRule="exact"/>
              <w:rPr>
                <w:rFonts w:ascii="宋体" w:hAnsi="宋体" w:cs="宋体"/>
                <w:color w:val="000000"/>
                <w:sz w:val="18"/>
                <w:szCs w:val="18"/>
                <w:lang w:bidi="ar"/>
              </w:rPr>
            </w:pPr>
          </w:p>
          <w:p w14:paraId="5C7A08C8">
            <w:pPr>
              <w:pStyle w:val="101"/>
              <w:spacing w:line="400" w:lineRule="exact"/>
              <w:ind w:firstLine="180" w:firstLineChars="100"/>
              <w:rPr>
                <w:rFonts w:ascii="宋体" w:hAnsi="宋体" w:cs="宋体"/>
                <w:color w:val="000000"/>
                <w:sz w:val="18"/>
                <w:szCs w:val="18"/>
                <w:lang w:bidi="ar"/>
              </w:rPr>
            </w:pPr>
            <w:r>
              <w:rPr>
                <w:rFonts w:hint="eastAsia" w:ascii="宋体" w:hAnsi="宋体" w:cs="宋体"/>
                <w:color w:val="000000"/>
                <w:kern w:val="0"/>
                <w:sz w:val="18"/>
                <w:szCs w:val="18"/>
                <w:lang w:bidi="ar"/>
              </w:rPr>
              <w:t>1</w:t>
            </w:r>
          </w:p>
        </w:tc>
        <w:tc>
          <w:tcPr>
            <w:tcW w:w="750" w:type="dxa"/>
          </w:tcPr>
          <w:p w14:paraId="50AFC37C">
            <w:pPr>
              <w:pStyle w:val="101"/>
              <w:spacing w:line="400" w:lineRule="exact"/>
              <w:ind w:firstLine="240"/>
              <w:rPr>
                <w:rFonts w:ascii="宋体" w:hAnsi="宋体" w:cs="宋体"/>
                <w:color w:val="000000"/>
                <w:sz w:val="18"/>
                <w:szCs w:val="18"/>
                <w:lang w:bidi="ar"/>
              </w:rPr>
            </w:pPr>
          </w:p>
          <w:p w14:paraId="01EB5C4B">
            <w:pPr>
              <w:pStyle w:val="101"/>
              <w:spacing w:line="400" w:lineRule="exact"/>
              <w:ind w:firstLine="240"/>
              <w:rPr>
                <w:rFonts w:ascii="宋体" w:hAnsi="宋体" w:cs="宋体"/>
                <w:color w:val="000000"/>
                <w:sz w:val="18"/>
                <w:szCs w:val="18"/>
                <w:lang w:bidi="ar"/>
              </w:rPr>
            </w:pPr>
            <w:r>
              <w:rPr>
                <w:rFonts w:hint="eastAsia" w:ascii="宋体" w:hAnsi="宋体" w:cs="宋体"/>
                <w:color w:val="000000"/>
                <w:kern w:val="0"/>
                <w:sz w:val="18"/>
                <w:szCs w:val="18"/>
                <w:lang w:bidi="ar"/>
              </w:rPr>
              <w:t>台</w:t>
            </w:r>
          </w:p>
        </w:tc>
        <w:tc>
          <w:tcPr>
            <w:tcW w:w="3800" w:type="dxa"/>
          </w:tcPr>
          <w:p w14:paraId="3D406078">
            <w:pPr>
              <w:pStyle w:val="101"/>
              <w:spacing w:line="400" w:lineRule="exact"/>
              <w:rPr>
                <w:rFonts w:ascii="宋体" w:hAnsi="宋体" w:cs="宋体"/>
                <w:color w:val="000000"/>
                <w:sz w:val="18"/>
                <w:szCs w:val="18"/>
                <w:lang w:bidi="ar"/>
              </w:rPr>
            </w:pPr>
            <w:r>
              <w:rPr>
                <w:rFonts w:hint="eastAsia" w:ascii="宋体" w:hAnsi="宋体" w:cs="宋体"/>
                <w:color w:val="000000"/>
                <w:kern w:val="0"/>
                <w:sz w:val="18"/>
                <w:szCs w:val="18"/>
                <w:lang w:bidi="ar"/>
              </w:rPr>
              <w:t>加重多功能地面清洗机：翻新大理石抛光、水磨石晶面、地面打磨、地毯清洗等，功率≥2400W</w:t>
            </w:r>
          </w:p>
        </w:tc>
      </w:tr>
      <w:tr w14:paraId="3606E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 w:type="dxa"/>
          </w:tcPr>
          <w:p w14:paraId="4699B4AA">
            <w:pPr>
              <w:pStyle w:val="101"/>
              <w:spacing w:line="400" w:lineRule="exact"/>
              <w:ind w:firstLine="240"/>
              <w:rPr>
                <w:rFonts w:ascii="宋体" w:hAnsi="宋体" w:cs="宋体"/>
                <w:color w:val="000000"/>
                <w:sz w:val="18"/>
                <w:szCs w:val="18"/>
                <w:lang w:bidi="ar"/>
              </w:rPr>
            </w:pPr>
            <w:r>
              <w:rPr>
                <w:rFonts w:hint="eastAsia" w:ascii="宋体" w:hAnsi="宋体" w:cs="宋体"/>
                <w:color w:val="000000"/>
                <w:kern w:val="0"/>
                <w:sz w:val="18"/>
                <w:szCs w:val="18"/>
                <w:lang w:bidi="ar"/>
              </w:rPr>
              <w:t>4</w:t>
            </w:r>
          </w:p>
        </w:tc>
        <w:tc>
          <w:tcPr>
            <w:tcW w:w="3225" w:type="dxa"/>
          </w:tcPr>
          <w:p w14:paraId="11B4B5A7">
            <w:pPr>
              <w:pStyle w:val="101"/>
              <w:spacing w:line="400" w:lineRule="exact"/>
              <w:rPr>
                <w:rFonts w:ascii="宋体" w:hAnsi="宋体" w:cs="宋体"/>
                <w:color w:val="000000"/>
                <w:sz w:val="18"/>
                <w:szCs w:val="18"/>
                <w:lang w:bidi="ar"/>
              </w:rPr>
            </w:pPr>
            <w:r>
              <w:rPr>
                <w:rFonts w:hint="eastAsia" w:ascii="宋体" w:hAnsi="宋体" w:cs="宋体"/>
                <w:color w:val="000000"/>
                <w:kern w:val="0"/>
                <w:sz w:val="18"/>
                <w:szCs w:val="18"/>
                <w:lang w:bidi="ar"/>
              </w:rPr>
              <w:t>院内场地新能源扫路车（非室内使用）</w:t>
            </w:r>
          </w:p>
        </w:tc>
        <w:tc>
          <w:tcPr>
            <w:tcW w:w="675" w:type="dxa"/>
          </w:tcPr>
          <w:p w14:paraId="5CA97D9D">
            <w:pPr>
              <w:pStyle w:val="101"/>
              <w:spacing w:line="400" w:lineRule="exact"/>
              <w:ind w:firstLine="240"/>
              <w:rPr>
                <w:rFonts w:ascii="宋体" w:hAnsi="宋体" w:cs="宋体"/>
                <w:color w:val="000000"/>
                <w:sz w:val="18"/>
                <w:szCs w:val="18"/>
                <w:lang w:bidi="ar"/>
              </w:rPr>
            </w:pPr>
            <w:r>
              <w:rPr>
                <w:rFonts w:hint="eastAsia" w:ascii="宋体" w:hAnsi="宋体" w:cs="宋体"/>
                <w:color w:val="000000"/>
                <w:kern w:val="0"/>
                <w:sz w:val="18"/>
                <w:szCs w:val="18"/>
                <w:lang w:bidi="ar"/>
              </w:rPr>
              <w:t>1</w:t>
            </w:r>
          </w:p>
        </w:tc>
        <w:tc>
          <w:tcPr>
            <w:tcW w:w="750" w:type="dxa"/>
          </w:tcPr>
          <w:p w14:paraId="6D44E7D8">
            <w:pPr>
              <w:pStyle w:val="101"/>
              <w:spacing w:line="400" w:lineRule="exact"/>
              <w:ind w:firstLine="240"/>
              <w:rPr>
                <w:rFonts w:ascii="宋体" w:hAnsi="宋体" w:cs="宋体"/>
                <w:color w:val="000000"/>
                <w:sz w:val="18"/>
                <w:szCs w:val="18"/>
                <w:lang w:bidi="ar"/>
              </w:rPr>
            </w:pPr>
            <w:r>
              <w:rPr>
                <w:rFonts w:hint="eastAsia" w:ascii="宋体" w:hAnsi="宋体" w:cs="宋体"/>
                <w:color w:val="000000"/>
                <w:kern w:val="0"/>
                <w:sz w:val="18"/>
                <w:szCs w:val="18"/>
                <w:lang w:bidi="ar"/>
              </w:rPr>
              <w:t>辆</w:t>
            </w:r>
          </w:p>
        </w:tc>
        <w:tc>
          <w:tcPr>
            <w:tcW w:w="3800" w:type="dxa"/>
          </w:tcPr>
          <w:p w14:paraId="077F3452">
            <w:pPr>
              <w:pStyle w:val="101"/>
              <w:spacing w:line="400" w:lineRule="exact"/>
              <w:rPr>
                <w:rFonts w:ascii="宋体" w:hAnsi="宋体" w:cs="宋体"/>
                <w:color w:val="000000"/>
                <w:sz w:val="18"/>
                <w:szCs w:val="18"/>
                <w:lang w:bidi="ar"/>
              </w:rPr>
            </w:pPr>
            <w:r>
              <w:rPr>
                <w:rFonts w:hint="eastAsia" w:ascii="宋体" w:hAnsi="宋体" w:cs="宋体"/>
                <w:color w:val="000000"/>
                <w:kern w:val="0"/>
                <w:sz w:val="18"/>
                <w:szCs w:val="18"/>
                <w:lang w:bidi="ar"/>
              </w:rPr>
              <w:t>喷淋、吸尘、清扫结合，工作效率≥14000m³/h</w:t>
            </w:r>
          </w:p>
        </w:tc>
      </w:tr>
      <w:tr w14:paraId="3D88E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 w:type="dxa"/>
          </w:tcPr>
          <w:p w14:paraId="411F3DD3">
            <w:pPr>
              <w:pStyle w:val="101"/>
              <w:spacing w:line="400" w:lineRule="exact"/>
              <w:jc w:val="center"/>
              <w:rPr>
                <w:rFonts w:ascii="宋体" w:hAnsi="宋体" w:cs="宋体"/>
                <w:color w:val="000000"/>
                <w:sz w:val="18"/>
                <w:szCs w:val="18"/>
                <w:lang w:bidi="ar"/>
              </w:rPr>
            </w:pPr>
            <w:r>
              <w:rPr>
                <w:rFonts w:hint="eastAsia" w:ascii="宋体" w:hAnsi="宋体" w:cs="宋体"/>
                <w:color w:val="000000"/>
                <w:kern w:val="0"/>
                <w:sz w:val="18"/>
                <w:szCs w:val="18"/>
                <w:lang w:bidi="ar"/>
              </w:rPr>
              <w:t>4</w:t>
            </w:r>
          </w:p>
        </w:tc>
        <w:tc>
          <w:tcPr>
            <w:tcW w:w="3225" w:type="dxa"/>
          </w:tcPr>
          <w:p w14:paraId="669395F3">
            <w:pPr>
              <w:pStyle w:val="101"/>
              <w:spacing w:line="400" w:lineRule="exact"/>
              <w:ind w:firstLine="180" w:firstLineChars="100"/>
              <w:rPr>
                <w:rFonts w:ascii="宋体" w:hAnsi="宋体" w:cs="宋体"/>
                <w:color w:val="000000"/>
                <w:sz w:val="18"/>
                <w:szCs w:val="18"/>
                <w:lang w:bidi="ar"/>
              </w:rPr>
            </w:pPr>
          </w:p>
          <w:p w14:paraId="46EC845D">
            <w:pPr>
              <w:pStyle w:val="101"/>
              <w:spacing w:line="400" w:lineRule="exact"/>
              <w:rPr>
                <w:rFonts w:ascii="宋体" w:hAnsi="宋体" w:cs="宋体"/>
                <w:color w:val="000000"/>
                <w:sz w:val="18"/>
                <w:szCs w:val="18"/>
                <w:lang w:bidi="ar"/>
              </w:rPr>
            </w:pPr>
            <w:r>
              <w:rPr>
                <w:rFonts w:hint="eastAsia" w:ascii="宋体" w:hAnsi="宋体" w:cs="宋体"/>
                <w:color w:val="000000"/>
                <w:kern w:val="0"/>
                <w:sz w:val="18"/>
                <w:szCs w:val="18"/>
                <w:lang w:bidi="ar"/>
              </w:rPr>
              <w:t>备品备件、物耗及小工具</w:t>
            </w:r>
          </w:p>
          <w:p w14:paraId="7A9EABA3">
            <w:pPr>
              <w:pStyle w:val="101"/>
              <w:spacing w:line="400" w:lineRule="exact"/>
              <w:rPr>
                <w:rFonts w:ascii="宋体" w:hAnsi="宋体" w:cs="宋体"/>
                <w:color w:val="000000"/>
                <w:sz w:val="18"/>
                <w:szCs w:val="18"/>
                <w:lang w:bidi="ar"/>
              </w:rPr>
            </w:pPr>
          </w:p>
        </w:tc>
        <w:tc>
          <w:tcPr>
            <w:tcW w:w="675" w:type="dxa"/>
          </w:tcPr>
          <w:p w14:paraId="342B93D6">
            <w:pPr>
              <w:pStyle w:val="101"/>
              <w:spacing w:line="400" w:lineRule="exact"/>
              <w:rPr>
                <w:rFonts w:ascii="宋体" w:hAnsi="宋体" w:cs="宋体"/>
                <w:color w:val="000000"/>
                <w:sz w:val="18"/>
                <w:szCs w:val="18"/>
                <w:lang w:bidi="ar"/>
              </w:rPr>
            </w:pPr>
          </w:p>
          <w:p w14:paraId="06D349E5">
            <w:pPr>
              <w:pStyle w:val="101"/>
              <w:spacing w:line="400" w:lineRule="exact"/>
              <w:rPr>
                <w:rFonts w:ascii="宋体" w:hAnsi="宋体" w:cs="宋体"/>
                <w:color w:val="000000"/>
                <w:sz w:val="18"/>
                <w:szCs w:val="18"/>
                <w:lang w:bidi="ar"/>
              </w:rPr>
            </w:pPr>
          </w:p>
          <w:p w14:paraId="72C67ECD">
            <w:pPr>
              <w:pStyle w:val="101"/>
              <w:spacing w:line="400" w:lineRule="exact"/>
              <w:ind w:firstLine="180" w:firstLineChars="100"/>
              <w:rPr>
                <w:rFonts w:ascii="宋体" w:hAnsi="宋体" w:cs="宋体"/>
                <w:color w:val="000000"/>
                <w:sz w:val="18"/>
                <w:szCs w:val="18"/>
                <w:lang w:bidi="ar"/>
              </w:rPr>
            </w:pPr>
            <w:r>
              <w:rPr>
                <w:rFonts w:hint="eastAsia" w:ascii="宋体" w:hAnsi="宋体" w:cs="宋体"/>
                <w:color w:val="000000"/>
                <w:kern w:val="0"/>
                <w:sz w:val="18"/>
                <w:szCs w:val="18"/>
                <w:lang w:bidi="ar"/>
              </w:rPr>
              <w:t>1</w:t>
            </w:r>
          </w:p>
        </w:tc>
        <w:tc>
          <w:tcPr>
            <w:tcW w:w="750" w:type="dxa"/>
          </w:tcPr>
          <w:p w14:paraId="43FB698C">
            <w:pPr>
              <w:pStyle w:val="101"/>
              <w:spacing w:line="400" w:lineRule="exact"/>
              <w:rPr>
                <w:rFonts w:ascii="宋体" w:hAnsi="宋体" w:cs="宋体"/>
                <w:color w:val="000000"/>
                <w:sz w:val="18"/>
                <w:szCs w:val="18"/>
                <w:lang w:bidi="ar"/>
              </w:rPr>
            </w:pPr>
          </w:p>
          <w:p w14:paraId="1F0CE911">
            <w:pPr>
              <w:pStyle w:val="101"/>
              <w:spacing w:line="400" w:lineRule="exact"/>
              <w:rPr>
                <w:rFonts w:ascii="宋体" w:hAnsi="宋体" w:cs="宋体"/>
                <w:color w:val="000000"/>
                <w:sz w:val="18"/>
                <w:szCs w:val="18"/>
                <w:lang w:bidi="ar"/>
              </w:rPr>
            </w:pPr>
          </w:p>
          <w:p w14:paraId="4D55F669">
            <w:pPr>
              <w:pStyle w:val="101"/>
              <w:spacing w:line="400" w:lineRule="exact"/>
              <w:jc w:val="center"/>
              <w:rPr>
                <w:rFonts w:ascii="宋体" w:hAnsi="宋体" w:cs="宋体"/>
                <w:color w:val="000000"/>
                <w:sz w:val="18"/>
                <w:szCs w:val="18"/>
                <w:lang w:bidi="ar"/>
              </w:rPr>
            </w:pPr>
            <w:r>
              <w:rPr>
                <w:rFonts w:hint="eastAsia" w:ascii="宋体" w:hAnsi="宋体" w:cs="宋体"/>
                <w:color w:val="000000"/>
                <w:kern w:val="0"/>
                <w:sz w:val="18"/>
                <w:szCs w:val="18"/>
                <w:lang w:bidi="ar"/>
              </w:rPr>
              <w:t>全套</w:t>
            </w:r>
          </w:p>
        </w:tc>
        <w:tc>
          <w:tcPr>
            <w:tcW w:w="3800" w:type="dxa"/>
          </w:tcPr>
          <w:p w14:paraId="75DAEDB0">
            <w:pPr>
              <w:pStyle w:val="101"/>
              <w:spacing w:line="400" w:lineRule="exact"/>
              <w:rPr>
                <w:rFonts w:ascii="宋体" w:hAnsi="宋体" w:cs="宋体"/>
                <w:color w:val="000000"/>
                <w:sz w:val="18"/>
                <w:szCs w:val="18"/>
                <w:lang w:bidi="ar"/>
              </w:rPr>
            </w:pPr>
            <w:r>
              <w:rPr>
                <w:rFonts w:hint="eastAsia" w:ascii="宋体" w:hAnsi="宋体" w:cs="宋体"/>
                <w:color w:val="000000"/>
                <w:kern w:val="0"/>
                <w:sz w:val="18"/>
                <w:szCs w:val="18"/>
                <w:lang w:bidi="ar"/>
              </w:rPr>
              <w:t xml:space="preserve"> （1）洗涤消毒用品全套，满足服务整体需求。</w:t>
            </w:r>
          </w:p>
          <w:p w14:paraId="6ADD6714">
            <w:pPr>
              <w:pStyle w:val="101"/>
              <w:spacing w:line="400" w:lineRule="exact"/>
              <w:rPr>
                <w:rFonts w:ascii="宋体" w:hAnsi="宋体" w:cs="宋体"/>
                <w:color w:val="000000"/>
                <w:sz w:val="18"/>
                <w:szCs w:val="18"/>
                <w:lang w:bidi="ar"/>
              </w:rPr>
            </w:pPr>
            <w:r>
              <w:rPr>
                <w:rFonts w:hint="eastAsia" w:ascii="宋体" w:hAnsi="宋体" w:cs="宋体"/>
                <w:color w:val="000000"/>
                <w:kern w:val="0"/>
                <w:sz w:val="18"/>
                <w:szCs w:val="18"/>
                <w:lang w:bidi="ar"/>
              </w:rPr>
              <w:t>（2）清洁小工具（全套），满足服务整体需求。</w:t>
            </w:r>
          </w:p>
          <w:p w14:paraId="4AC86B11">
            <w:pPr>
              <w:pStyle w:val="101"/>
              <w:spacing w:line="400" w:lineRule="exact"/>
              <w:rPr>
                <w:rFonts w:ascii="宋体" w:hAnsi="宋体" w:cs="宋体"/>
                <w:color w:val="000000"/>
                <w:sz w:val="18"/>
                <w:szCs w:val="18"/>
                <w:lang w:bidi="ar"/>
              </w:rPr>
            </w:pPr>
            <w:r>
              <w:rPr>
                <w:rFonts w:hint="eastAsia" w:ascii="宋体" w:hAnsi="宋体" w:cs="宋体"/>
                <w:color w:val="000000"/>
                <w:kern w:val="0"/>
                <w:sz w:val="18"/>
                <w:szCs w:val="18"/>
                <w:lang w:bidi="ar"/>
              </w:rPr>
              <w:t>（3）耗材如垃圾袋、垃圾桶、各类防滑垫等，满足服务整体需求。</w:t>
            </w:r>
          </w:p>
          <w:p w14:paraId="05C04E4F">
            <w:pPr>
              <w:pStyle w:val="101"/>
              <w:spacing w:line="400" w:lineRule="exact"/>
              <w:rPr>
                <w:rFonts w:ascii="宋体" w:hAnsi="宋体" w:cs="宋体"/>
                <w:color w:val="000000"/>
                <w:sz w:val="18"/>
                <w:szCs w:val="18"/>
                <w:lang w:bidi="ar"/>
              </w:rPr>
            </w:pPr>
            <w:r>
              <w:rPr>
                <w:rFonts w:hint="eastAsia" w:ascii="宋体" w:hAnsi="宋体" w:cs="宋体"/>
                <w:color w:val="000000"/>
                <w:kern w:val="0"/>
                <w:sz w:val="18"/>
                <w:szCs w:val="18"/>
                <w:lang w:bidi="ar"/>
              </w:rPr>
              <w:t>（4）墩布架≥50套，标准清洁服务车≥80套等。</w:t>
            </w:r>
          </w:p>
        </w:tc>
      </w:tr>
      <w:tr w14:paraId="541C8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87" w:type="dxa"/>
            <w:gridSpan w:val="5"/>
          </w:tcPr>
          <w:p w14:paraId="48D5FB75">
            <w:pPr>
              <w:pStyle w:val="101"/>
              <w:spacing w:line="400" w:lineRule="exact"/>
              <w:jc w:val="left"/>
              <w:rPr>
                <w:rFonts w:ascii="宋体" w:hAnsi="宋体" w:cs="宋体"/>
                <w:color w:val="000000"/>
                <w:sz w:val="18"/>
                <w:szCs w:val="18"/>
                <w:lang w:bidi="ar"/>
              </w:rPr>
            </w:pPr>
            <w:r>
              <w:rPr>
                <w:rFonts w:hint="eastAsia" w:ascii="宋体" w:hAnsi="宋体" w:cs="宋体"/>
                <w:color w:val="000000"/>
                <w:kern w:val="0"/>
                <w:sz w:val="18"/>
                <w:szCs w:val="18"/>
                <w:lang w:bidi="ar"/>
              </w:rPr>
              <w:t>注：以上属于本项目服务所需自行配置部分工具设施，投标人自行增补和细化，包含在综合报价内，后期，如采购人有需要增补和提高设施档次及标准的，投标人须全面服从需求并购置，结算费用不予调整。</w:t>
            </w:r>
          </w:p>
        </w:tc>
      </w:tr>
    </w:tbl>
    <w:p w14:paraId="667994B8">
      <w:pPr>
        <w:pStyle w:val="249"/>
        <w:spacing w:before="156" w:after="156" w:line="520" w:lineRule="exact"/>
        <w:ind w:left="210" w:firstLine="241"/>
        <w:outlineLvl w:val="1"/>
        <w:rPr>
          <w:rStyle w:val="186"/>
          <w:rFonts w:ascii="宋体" w:hAnsi="宋体" w:cs="宋体"/>
          <w:b/>
          <w:bCs/>
          <w:color w:val="000000"/>
          <w:sz w:val="24"/>
        </w:rPr>
      </w:pPr>
      <w:bookmarkStart w:id="71" w:name="_Toc1551"/>
      <w:r>
        <w:rPr>
          <w:rStyle w:val="186"/>
          <w:rFonts w:hint="eastAsia" w:ascii="宋体" w:hAnsi="宋体" w:cs="宋体"/>
          <w:b/>
          <w:bCs/>
          <w:color w:val="000000"/>
          <w:sz w:val="24"/>
        </w:rPr>
        <w:t>四、人员配备要求</w:t>
      </w:r>
      <w:bookmarkEnd w:id="71"/>
    </w:p>
    <w:p w14:paraId="614B321B">
      <w:pPr>
        <w:pStyle w:val="247"/>
        <w:topLinePunct/>
        <w:spacing w:line="360" w:lineRule="auto"/>
        <w:ind w:firstLine="482" w:firstLineChars="200"/>
        <w:jc w:val="both"/>
        <w:rPr>
          <w:rFonts w:ascii="宋体" w:hAnsi="宋体" w:eastAsia="宋体" w:cs="宋体"/>
          <w:b/>
          <w:bCs/>
          <w:kern w:val="2"/>
          <w:highlight w:val="yellow"/>
        </w:rPr>
      </w:pPr>
      <w:r>
        <w:rPr>
          <w:rFonts w:hint="eastAsia" w:ascii="宋体" w:hAnsi="宋体" w:eastAsia="宋体" w:cs="宋体"/>
          <w:b/>
          <w:bCs/>
          <w:kern w:val="2"/>
        </w:rPr>
        <w:t>1、</w:t>
      </w:r>
      <w:r>
        <w:rPr>
          <w:rFonts w:hint="eastAsia" w:ascii="宋体" w:hAnsi="宋体" w:eastAsia="宋体" w:cs="宋体"/>
          <w:kern w:val="2"/>
        </w:rPr>
        <w:t>项目负责人</w:t>
      </w:r>
    </w:p>
    <w:p w14:paraId="1CCE18CB">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项目负责人：1人，高中以上文凭，驻场。具有管理经验，专职；45周岁以下，有较强组织协调能力，负责物业相关人员的管理、监督、培训、考核和协调工作；具有基本的公文写作知识和能力，具备熟练使用Office 办公软件文字编纂和加工的能力，具有一定的组织协调及沟通能力；负责本项目的负责物业相关人员的管理、监督、培训、考核和协调工作，以及人资招聘、物资采购、资料汇总、品控宣导、会务服务等行政工作。</w:t>
      </w:r>
    </w:p>
    <w:p w14:paraId="2999D533">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备注：中标后，项目负责人不经采购人同意不得擅自更换；采购人有权要求更换不称职经理，项目负责人试用期为3个月，试用期满后采购人视项目负责人试用期表现决定是或留用。</w:t>
      </w:r>
    </w:p>
    <w:p w14:paraId="0D94DAE0">
      <w:pPr>
        <w:pStyle w:val="247"/>
        <w:topLinePunct/>
        <w:spacing w:line="360" w:lineRule="auto"/>
        <w:ind w:firstLine="482" w:firstLineChars="200"/>
        <w:jc w:val="both"/>
        <w:rPr>
          <w:rFonts w:ascii="宋体" w:hAnsi="宋体" w:eastAsia="宋体" w:cs="宋体"/>
          <w:b/>
          <w:bCs/>
          <w:kern w:val="2"/>
        </w:rPr>
      </w:pPr>
      <w:r>
        <w:rPr>
          <w:rFonts w:hint="eastAsia" w:ascii="宋体" w:hAnsi="宋体" w:eastAsia="宋体" w:cs="宋体"/>
          <w:b/>
          <w:bCs/>
          <w:kern w:val="2"/>
        </w:rPr>
        <w:t>2、保洁人员要求</w:t>
      </w:r>
    </w:p>
    <w:p w14:paraId="229D7295">
      <w:pPr>
        <w:pStyle w:val="247"/>
        <w:topLinePunct/>
        <w:spacing w:line="360" w:lineRule="auto"/>
        <w:ind w:firstLine="482" w:firstLineChars="200"/>
        <w:jc w:val="both"/>
        <w:rPr>
          <w:rFonts w:ascii="宋体" w:hAnsi="宋体" w:eastAsia="宋体" w:cs="宋体"/>
          <w:b/>
          <w:bCs/>
          <w:kern w:val="2"/>
        </w:rPr>
      </w:pPr>
      <w:r>
        <w:rPr>
          <w:rFonts w:hint="eastAsia" w:ascii="宋体" w:hAnsi="宋体" w:eastAsia="宋体" w:cs="宋体"/>
          <w:b/>
          <w:bCs/>
          <w:kern w:val="2"/>
        </w:rPr>
        <w:t>2.1保洁班长要求：</w:t>
      </w:r>
    </w:p>
    <w:p w14:paraId="0D41823E">
      <w:pPr>
        <w:pStyle w:val="247"/>
        <w:topLinePunct/>
        <w:spacing w:line="360" w:lineRule="auto"/>
        <w:ind w:firstLine="480" w:firstLineChars="200"/>
        <w:jc w:val="both"/>
        <w:rPr>
          <w:rFonts w:ascii="宋体" w:hAnsi="宋体" w:eastAsia="宋体" w:cs="宋体"/>
          <w:b/>
          <w:bCs/>
          <w:kern w:val="2"/>
        </w:rPr>
      </w:pPr>
      <w:r>
        <w:rPr>
          <w:rFonts w:hint="eastAsia" w:ascii="宋体" w:hAnsi="宋体" w:eastAsia="宋体" w:cs="宋体"/>
          <w:kern w:val="2"/>
        </w:rPr>
        <w:t>保洁班长1人，45周岁以内，配合项目负责人做好保洁管理工作，身体健康、责任心强、工作主动、热情、积极，有相关的管理经验，有一定的队伍管理能力，培训后上岗。</w:t>
      </w:r>
    </w:p>
    <w:p w14:paraId="252E3C46">
      <w:pPr>
        <w:pStyle w:val="247"/>
        <w:topLinePunct/>
        <w:spacing w:line="360" w:lineRule="auto"/>
        <w:ind w:firstLine="482" w:firstLineChars="200"/>
        <w:jc w:val="both"/>
        <w:rPr>
          <w:rFonts w:ascii="宋体" w:hAnsi="宋体" w:eastAsia="宋体" w:cs="宋体"/>
          <w:b/>
          <w:bCs/>
          <w:kern w:val="2"/>
        </w:rPr>
      </w:pPr>
      <w:r>
        <w:rPr>
          <w:rFonts w:hint="eastAsia" w:ascii="宋体" w:hAnsi="宋体" w:eastAsia="宋体" w:cs="宋体"/>
          <w:b/>
          <w:bCs/>
          <w:kern w:val="2"/>
        </w:rPr>
        <w:t>2.2保洁员要求</w:t>
      </w:r>
    </w:p>
    <w:p w14:paraId="79CB024C">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保洁员：9人（不含保洁班长），年龄55周岁（含）以下（以居民身份证为准），初中以上文化，有吃苦耐劳精神，责任心强。负责医院的保洁工作。采购人有权根据工作情况对保洁人员配备进行调整，培训后上岗。</w:t>
      </w:r>
    </w:p>
    <w:p w14:paraId="7C2418A3">
      <w:pPr>
        <w:pStyle w:val="247"/>
        <w:topLinePunct/>
        <w:spacing w:line="360" w:lineRule="auto"/>
        <w:ind w:firstLine="482" w:firstLineChars="200"/>
        <w:jc w:val="both"/>
        <w:rPr>
          <w:rFonts w:ascii="宋体" w:hAnsi="宋体" w:eastAsia="宋体" w:cs="宋体"/>
          <w:b/>
          <w:bCs/>
          <w:kern w:val="2"/>
        </w:rPr>
      </w:pPr>
      <w:r>
        <w:rPr>
          <w:rFonts w:hint="eastAsia" w:ascii="宋体" w:hAnsi="宋体" w:eastAsia="宋体" w:cs="宋体"/>
          <w:b/>
          <w:bCs/>
          <w:kern w:val="2"/>
        </w:rPr>
        <w:t>3、集中运送与驻守工勤要求</w:t>
      </w:r>
    </w:p>
    <w:p w14:paraId="0FD22F50">
      <w:pPr>
        <w:pStyle w:val="247"/>
        <w:topLinePunct/>
        <w:spacing w:line="360" w:lineRule="auto"/>
        <w:ind w:firstLine="482" w:firstLineChars="200"/>
        <w:jc w:val="both"/>
        <w:rPr>
          <w:rFonts w:ascii="宋体" w:hAnsi="宋体" w:eastAsia="宋体" w:cs="宋体"/>
          <w:kern w:val="2"/>
        </w:rPr>
      </w:pPr>
      <w:r>
        <w:rPr>
          <w:rFonts w:hint="eastAsia" w:ascii="宋体" w:hAnsi="宋体" w:eastAsia="宋体" w:cs="宋体"/>
          <w:b/>
          <w:bCs/>
          <w:kern w:val="2"/>
        </w:rPr>
        <w:t>运送工及驻守工勤：</w:t>
      </w:r>
      <w:r>
        <w:rPr>
          <w:rFonts w:hint="eastAsia" w:ascii="宋体" w:hAnsi="宋体" w:eastAsia="宋体" w:cs="宋体"/>
          <w:kern w:val="2"/>
        </w:rPr>
        <w:t>2人，建议男性，年龄55周岁（含）以下（以居民身份证为准），初中以上文化，有吃苦耐劳精神，责任心强。负责服务区域内集中运送、工具调度运送、物品运送、患者运送等服务，培训后上岗。</w:t>
      </w:r>
    </w:p>
    <w:p w14:paraId="0D6DBA8D">
      <w:pPr>
        <w:pStyle w:val="247"/>
        <w:topLinePunct/>
        <w:spacing w:line="360" w:lineRule="auto"/>
        <w:ind w:firstLine="482" w:firstLineChars="200"/>
        <w:jc w:val="both"/>
        <w:rPr>
          <w:rFonts w:ascii="宋体" w:hAnsi="宋体" w:eastAsia="宋体" w:cs="宋体"/>
          <w:b/>
          <w:bCs/>
          <w:kern w:val="2"/>
        </w:rPr>
      </w:pPr>
      <w:r>
        <w:rPr>
          <w:rFonts w:hint="eastAsia" w:ascii="宋体" w:hAnsi="宋体" w:eastAsia="宋体" w:cs="宋体"/>
          <w:b/>
          <w:bCs/>
          <w:kern w:val="2"/>
        </w:rPr>
        <w:t>4、保安人员要求</w:t>
      </w:r>
    </w:p>
    <w:p w14:paraId="459A6653">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4.1班长要求</w:t>
      </w:r>
      <w:r>
        <w:rPr>
          <w:rFonts w:hint="eastAsia" w:ascii="宋体" w:hAnsi="宋体" w:eastAsia="宋体" w:cs="宋体"/>
          <w:b/>
          <w:bCs/>
          <w:kern w:val="2"/>
        </w:rPr>
        <w:t>（★持有保安员职业资格证书）：</w:t>
      </w:r>
    </w:p>
    <w:p w14:paraId="4F545358">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保安班长1人：男性，50岁及以下，实行三班倒，配合项目经理做好各个班次物业、保安管理工作，身体健康、责任心强、工作主动、热情、积极，高中及以上学历，身高175Cm以上，有相关的管理经验，有一定的队伍管理能力，培训后上岗。</w:t>
      </w:r>
    </w:p>
    <w:p w14:paraId="710E44F6">
      <w:pPr>
        <w:pStyle w:val="247"/>
        <w:topLinePunct/>
        <w:spacing w:line="360" w:lineRule="auto"/>
        <w:ind w:firstLine="480" w:firstLineChars="200"/>
        <w:jc w:val="both"/>
        <w:rPr>
          <w:rFonts w:ascii="宋体" w:hAnsi="宋体" w:eastAsia="宋体" w:cs="宋体"/>
          <w:b/>
          <w:bCs/>
          <w:kern w:val="2"/>
        </w:rPr>
      </w:pPr>
      <w:r>
        <w:rPr>
          <w:rFonts w:hint="eastAsia" w:ascii="宋体" w:hAnsi="宋体" w:eastAsia="宋体" w:cs="宋体"/>
          <w:kern w:val="2"/>
        </w:rPr>
        <w:t>4.2消防监控人员要求：</w:t>
      </w:r>
      <w:r>
        <w:rPr>
          <w:rFonts w:hint="eastAsia" w:ascii="宋体" w:hAnsi="宋体" w:eastAsia="宋体" w:cs="宋体"/>
          <w:b/>
          <w:bCs/>
          <w:kern w:val="2"/>
        </w:rPr>
        <w:t>（★持有建（构）筑物消防员初级及以上证书）</w:t>
      </w:r>
    </w:p>
    <w:p w14:paraId="4B788415">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消防监控人员：6人，建议男性，持有建（构）筑物消防员初级及以上证书，50岁及以下，高中及以上文化，男性身高170Cm以上，思想品质好，身体健康，五官端正，培训后上岗。</w:t>
      </w:r>
    </w:p>
    <w:p w14:paraId="696FF710">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4.3普通保安人员要求：</w:t>
      </w:r>
    </w:p>
    <w:p w14:paraId="07660E10">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普通保安：5人，建议男性，55周岁以下，高中及以上文化，身高170Cm以上，思想品质好，身体健康，五官端正，退伍军人优先。主要负责全院安全保卫、安全巡逻及车辆管理，疫情防控、物品搬运等所有秩序维护相关工作，按属地派出所要求持有保安员职业资格证书，培训后上岗。</w:t>
      </w:r>
    </w:p>
    <w:p w14:paraId="713628D7">
      <w:pPr>
        <w:pStyle w:val="247"/>
        <w:topLinePunct/>
        <w:spacing w:line="360" w:lineRule="auto"/>
        <w:ind w:firstLine="482" w:firstLineChars="200"/>
        <w:jc w:val="both"/>
        <w:rPr>
          <w:rFonts w:ascii="宋体" w:hAnsi="宋体" w:eastAsia="宋体" w:cs="宋体"/>
          <w:b/>
          <w:bCs/>
          <w:kern w:val="2"/>
        </w:rPr>
      </w:pPr>
      <w:r>
        <w:rPr>
          <w:rFonts w:hint="eastAsia" w:ascii="宋体" w:hAnsi="宋体" w:eastAsia="宋体" w:cs="宋体"/>
          <w:b/>
          <w:bCs/>
          <w:kern w:val="2"/>
        </w:rPr>
        <w:t>5、水电维修人员要求（</w:t>
      </w:r>
      <w:r>
        <w:rPr>
          <w:rFonts w:hint="eastAsia" w:ascii="宋体" w:hAnsi="宋体" w:eastAsia="宋体" w:cs="宋体"/>
          <w:kern w:val="2"/>
        </w:rPr>
        <w:t>★至少有1人持有高压电工职业资格证书）</w:t>
      </w:r>
    </w:p>
    <w:p w14:paraId="45C9C6AD">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人员配置：</w:t>
      </w:r>
    </w:p>
    <w:p w14:paraId="68D7BD60">
      <w:pPr>
        <w:widowControl/>
        <w:spacing w:line="360" w:lineRule="auto"/>
        <w:ind w:firstLine="480" w:firstLineChars="200"/>
        <w:jc w:val="left"/>
        <w:rPr>
          <w:rFonts w:ascii="宋体" w:hAnsi="宋体" w:cs="宋体"/>
          <w:sz w:val="24"/>
        </w:rPr>
      </w:pPr>
      <w:r>
        <w:rPr>
          <w:rFonts w:hint="eastAsia" w:ascii="宋体" w:hAnsi="宋体" w:cs="宋体"/>
          <w:sz w:val="24"/>
        </w:rPr>
        <w:t>5.1水电班长1人，55岁及以下，持有高压电工证、特种设备作业人员证（或安全员证），具有水电工程管理经验，培训后上岗。</w:t>
      </w:r>
    </w:p>
    <w:p w14:paraId="3789069C">
      <w:pPr>
        <w:widowControl/>
        <w:spacing w:line="360" w:lineRule="auto"/>
        <w:ind w:firstLine="480" w:firstLineChars="200"/>
        <w:jc w:val="left"/>
        <w:rPr>
          <w:rFonts w:ascii="宋体" w:hAnsi="宋体" w:cs="宋体"/>
          <w:sz w:val="24"/>
        </w:rPr>
      </w:pPr>
      <w:r>
        <w:rPr>
          <w:rFonts w:hint="eastAsia" w:ascii="宋体" w:hAnsi="宋体" w:cs="宋体"/>
          <w:sz w:val="24"/>
        </w:rPr>
        <w:t>5.2水电工3人，男，55岁及以下。主要职责（包括班长）24小时轮流值班，负责全院水、电、气值班及应急工作，负责全院零星维修工作，负责配电房、水泵房、发电机房、气体机房、强、弱电室（间）等所有设备机房的巡视及高压配电值班工作培训后上岗。</w:t>
      </w:r>
    </w:p>
    <w:p w14:paraId="1ECF5661">
      <w:pPr>
        <w:spacing w:line="360" w:lineRule="auto"/>
        <w:ind w:firstLine="480" w:firstLineChars="200"/>
        <w:rPr>
          <w:rStyle w:val="186"/>
          <w:rFonts w:ascii="宋体" w:hAnsi="宋体" w:cs="宋体"/>
          <w:color w:val="0000FF"/>
          <w:sz w:val="24"/>
        </w:rPr>
      </w:pPr>
      <w:r>
        <w:rPr>
          <w:rStyle w:val="186"/>
          <w:rFonts w:hint="eastAsia" w:ascii="宋体" w:hAnsi="宋体" w:cs="宋体"/>
          <w:color w:val="0000FF"/>
          <w:sz w:val="24"/>
        </w:rPr>
        <w:t>注： 1.除项目负责人外，其他成员可在中标后按要求聘用相关人员，并依法签订劳动合同。所有人员不得兼职，中标人必须提交进场人员名单及身份证复印件给采购人备案。</w:t>
      </w:r>
    </w:p>
    <w:p w14:paraId="13319A90">
      <w:pPr>
        <w:spacing w:line="360" w:lineRule="auto"/>
        <w:ind w:firstLine="480" w:firstLineChars="200"/>
        <w:rPr>
          <w:rStyle w:val="186"/>
          <w:rFonts w:ascii="宋体" w:hAnsi="宋体" w:cs="宋体"/>
          <w:color w:val="0000FF"/>
          <w:sz w:val="24"/>
        </w:rPr>
      </w:pPr>
      <w:r>
        <w:rPr>
          <w:rStyle w:val="186"/>
          <w:rFonts w:hint="eastAsia" w:ascii="宋体" w:hAnsi="宋体" w:cs="宋体"/>
          <w:color w:val="0000FF"/>
          <w:sz w:val="24"/>
        </w:rPr>
        <w:t>2.中标人须严格按照投标文件配备项目负责人，如若更换，须经过采购人同意后履行更换手续；项目负责人岗位空缺期间，采购人记录扣除中标人服务费500元/日；除因项目负责人不称职而采购人要求更换外，中标人因自身原因更换项目负责人的不得超过1次，否则每多一次，采购人扣除中标人5000元月服务费。</w:t>
      </w:r>
    </w:p>
    <w:p w14:paraId="71033930">
      <w:pPr>
        <w:spacing w:line="360" w:lineRule="auto"/>
        <w:ind w:firstLine="480" w:firstLineChars="200"/>
        <w:rPr>
          <w:rStyle w:val="186"/>
          <w:rFonts w:ascii="宋体" w:hAnsi="宋体" w:cs="宋体"/>
          <w:color w:val="0000FF"/>
          <w:sz w:val="24"/>
        </w:rPr>
      </w:pPr>
      <w:r>
        <w:rPr>
          <w:rStyle w:val="186"/>
          <w:rFonts w:hint="eastAsia" w:ascii="宋体" w:hAnsi="宋体" w:cs="宋体"/>
          <w:color w:val="0000FF"/>
          <w:sz w:val="24"/>
        </w:rPr>
        <w:t>3.采购人有权根据工作表现、工作需求提出更换人员，中标人需在采购人提出需求一个月内完成人员更换，并完成更换人员的费用结算。</w:t>
      </w:r>
    </w:p>
    <w:p w14:paraId="23B5CD17">
      <w:pPr>
        <w:spacing w:line="360" w:lineRule="auto"/>
        <w:ind w:firstLine="480" w:firstLineChars="200"/>
        <w:rPr>
          <w:rStyle w:val="186"/>
          <w:rFonts w:ascii="宋体" w:hAnsi="宋体" w:cs="宋体"/>
          <w:color w:val="0000FF"/>
          <w:sz w:val="24"/>
        </w:rPr>
      </w:pPr>
      <w:r>
        <w:rPr>
          <w:rStyle w:val="186"/>
          <w:rFonts w:hint="eastAsia" w:ascii="宋体" w:hAnsi="宋体" w:cs="宋体"/>
          <w:color w:val="0000FF"/>
          <w:sz w:val="24"/>
        </w:rPr>
        <w:t>4.一般工作人员年流失率不得超过15%（从乙方接管满三个月起计算），每超过一个百分点，中标人须向采购人支付违约金1000元，该费用从当月物业服务费中扣除。</w:t>
      </w:r>
    </w:p>
    <w:p w14:paraId="1089BF81">
      <w:pPr>
        <w:spacing w:line="360" w:lineRule="auto"/>
        <w:ind w:firstLine="480" w:firstLineChars="200"/>
        <w:rPr>
          <w:rStyle w:val="186"/>
          <w:rFonts w:ascii="宋体" w:hAnsi="宋体" w:cs="宋体"/>
          <w:color w:val="0000FF"/>
          <w:sz w:val="24"/>
        </w:rPr>
      </w:pPr>
      <w:r>
        <w:rPr>
          <w:rStyle w:val="186"/>
          <w:rFonts w:hint="eastAsia" w:ascii="宋体" w:hAnsi="宋体" w:cs="宋体"/>
          <w:color w:val="0000FF"/>
          <w:sz w:val="24"/>
        </w:rPr>
        <w:t>5.所有人员无重大疾病和传染病，均无犯罪记录，未受过刑事处罚，未有相关法律纠纷。由中标人按照相关要求招聘，并获得采购人认可后进场。</w:t>
      </w:r>
    </w:p>
    <w:p w14:paraId="0F846AAB">
      <w:pPr>
        <w:spacing w:line="360" w:lineRule="auto"/>
        <w:ind w:firstLine="480" w:firstLineChars="200"/>
        <w:rPr>
          <w:rStyle w:val="186"/>
          <w:rFonts w:ascii="宋体" w:hAnsi="宋体" w:cs="宋体"/>
          <w:color w:val="0000FF"/>
          <w:sz w:val="24"/>
        </w:rPr>
      </w:pPr>
      <w:r>
        <w:rPr>
          <w:rStyle w:val="186"/>
          <w:rFonts w:hint="eastAsia" w:ascii="宋体" w:hAnsi="宋体" w:cs="宋体"/>
          <w:color w:val="0000FF"/>
          <w:sz w:val="24"/>
        </w:rPr>
        <w:t>6.中标人在合同签订并生效之日起3日内将所有人员资料交采购人审核，以上聘用的人员经采购人审核书面同意后方可上岗。</w:t>
      </w:r>
    </w:p>
    <w:p w14:paraId="65FCDB70">
      <w:pPr>
        <w:spacing w:line="360" w:lineRule="auto"/>
        <w:ind w:firstLine="480" w:firstLineChars="200"/>
        <w:rPr>
          <w:rStyle w:val="186"/>
          <w:rFonts w:ascii="宋体" w:hAnsi="宋体" w:cs="宋体"/>
          <w:color w:val="0000FF"/>
          <w:sz w:val="24"/>
        </w:rPr>
      </w:pPr>
      <w:r>
        <w:rPr>
          <w:rStyle w:val="186"/>
          <w:rFonts w:hint="eastAsia" w:ascii="宋体" w:hAnsi="宋体" w:cs="宋体"/>
          <w:color w:val="0000FF"/>
          <w:sz w:val="24"/>
        </w:rPr>
        <w:t>7.如因中标人项目组成员疏忽或失职造成贵重物品被盗、毁坏或发生重大安全事故，中标人承担一切赔偿责任。履约期间，如若发生项目组成员工伤或遇项目组成员人身伤亡事故，均由中标人负责，与采购人无关。</w:t>
      </w:r>
    </w:p>
    <w:p w14:paraId="307B562B">
      <w:pPr>
        <w:spacing w:line="360" w:lineRule="auto"/>
        <w:ind w:firstLine="480" w:firstLineChars="200"/>
        <w:rPr>
          <w:rStyle w:val="186"/>
          <w:rFonts w:ascii="宋体" w:hAnsi="宋体" w:cs="宋体"/>
          <w:color w:val="0000FF"/>
          <w:sz w:val="24"/>
        </w:rPr>
      </w:pPr>
      <w:r>
        <w:rPr>
          <w:rStyle w:val="186"/>
          <w:rFonts w:hint="eastAsia" w:ascii="宋体" w:hAnsi="宋体" w:cs="宋体"/>
          <w:color w:val="0000FF"/>
          <w:sz w:val="24"/>
        </w:rPr>
        <w:t>8.履约过程中，中标人须按照国家及地方规定购买意外险（或雇主责任险），在合同签订后7日内将意外险（或 雇主责任险）购买情况报至采购人。</w:t>
      </w:r>
    </w:p>
    <w:p w14:paraId="06A57A7A">
      <w:pPr>
        <w:pStyle w:val="232"/>
        <w:widowControl/>
        <w:spacing w:line="440" w:lineRule="exact"/>
        <w:ind w:firstLine="480"/>
        <w:jc w:val="left"/>
        <w:rPr>
          <w:rStyle w:val="186"/>
          <w:rFonts w:ascii="宋体" w:hAnsi="宋体" w:cs="宋体"/>
          <w:color w:val="0000FF"/>
          <w:sz w:val="24"/>
          <w:szCs w:val="24"/>
        </w:rPr>
      </w:pPr>
      <w:r>
        <w:rPr>
          <w:rStyle w:val="186"/>
          <w:rFonts w:hint="eastAsia" w:ascii="宋体" w:hAnsi="宋体" w:cs="宋体"/>
          <w:color w:val="0000FF"/>
          <w:sz w:val="24"/>
          <w:szCs w:val="24"/>
        </w:rPr>
        <w:t xml:space="preserve">9、进场人员必须严格遵守一切规章制度，自觉接受检查，服务期间，人员未经批准不得进入其他区域。 </w:t>
      </w:r>
    </w:p>
    <w:p w14:paraId="15585F68">
      <w:pPr>
        <w:pStyle w:val="232"/>
        <w:widowControl/>
        <w:spacing w:line="440" w:lineRule="exact"/>
        <w:ind w:firstLine="480"/>
        <w:jc w:val="left"/>
        <w:rPr>
          <w:rStyle w:val="186"/>
          <w:rFonts w:ascii="宋体" w:hAnsi="宋体" w:cs="宋体"/>
          <w:color w:val="0000FF"/>
          <w:sz w:val="24"/>
          <w:szCs w:val="24"/>
        </w:rPr>
      </w:pPr>
      <w:r>
        <w:rPr>
          <w:rStyle w:val="186"/>
          <w:rFonts w:hint="eastAsia" w:ascii="宋体" w:hAnsi="宋体" w:cs="宋体"/>
          <w:color w:val="0000FF"/>
          <w:sz w:val="24"/>
          <w:szCs w:val="24"/>
        </w:rPr>
        <w:t xml:space="preserve">10、中标人必须遵守采购人现场和人员管理规定，严格执行安全生产管理要求。 </w:t>
      </w:r>
    </w:p>
    <w:p w14:paraId="7A50DE63">
      <w:pPr>
        <w:pStyle w:val="232"/>
        <w:widowControl/>
        <w:spacing w:line="440" w:lineRule="exact"/>
        <w:ind w:firstLine="480"/>
        <w:jc w:val="left"/>
        <w:rPr>
          <w:rStyle w:val="186"/>
          <w:rFonts w:ascii="宋体" w:hAnsi="宋体" w:cs="宋体"/>
          <w:color w:val="0000FF"/>
          <w:sz w:val="24"/>
          <w:szCs w:val="24"/>
        </w:rPr>
      </w:pPr>
      <w:r>
        <w:rPr>
          <w:rStyle w:val="186"/>
          <w:rFonts w:hint="eastAsia" w:ascii="宋体" w:hAnsi="宋体" w:cs="宋体"/>
          <w:color w:val="0000FF"/>
          <w:sz w:val="24"/>
          <w:szCs w:val="24"/>
        </w:rPr>
        <w:t xml:space="preserve">11、中标人必须注意现场安全，做好安全文明工作，一切责任由中标人负责。 </w:t>
      </w:r>
    </w:p>
    <w:p w14:paraId="0B70725B">
      <w:pPr>
        <w:spacing w:line="360" w:lineRule="auto"/>
        <w:ind w:firstLine="480" w:firstLineChars="200"/>
        <w:rPr>
          <w:rStyle w:val="186"/>
          <w:rFonts w:ascii="宋体" w:hAnsi="宋体" w:cs="宋体"/>
          <w:color w:val="0000FF"/>
          <w:sz w:val="24"/>
        </w:rPr>
      </w:pPr>
      <w:r>
        <w:rPr>
          <w:rStyle w:val="186"/>
          <w:rFonts w:hint="eastAsia" w:ascii="宋体" w:hAnsi="宋体" w:cs="宋体"/>
          <w:color w:val="0000FF"/>
          <w:sz w:val="24"/>
        </w:rPr>
        <w:t>12、所有上岗员工培训通过率100%，培训资料可查。</w:t>
      </w:r>
    </w:p>
    <w:p w14:paraId="73DFC03B">
      <w:pPr>
        <w:spacing w:line="360" w:lineRule="auto"/>
        <w:ind w:firstLine="480" w:firstLineChars="200"/>
        <w:rPr>
          <w:rFonts w:ascii="宋体" w:hAnsi="宋体" w:cs="宋体"/>
          <w:b/>
          <w:bCs/>
          <w:sz w:val="24"/>
        </w:rPr>
      </w:pPr>
      <w:r>
        <w:rPr>
          <w:rStyle w:val="186"/>
          <w:rFonts w:hint="eastAsia" w:ascii="宋体" w:hAnsi="宋体" w:cs="宋体"/>
          <w:color w:val="0000FF"/>
          <w:sz w:val="24"/>
        </w:rPr>
        <w:t xml:space="preserve">13、中标人在保证质量的前提下，应能按时完成所有工作内容。 </w:t>
      </w:r>
      <w:r>
        <w:rPr>
          <w:rStyle w:val="186"/>
          <w:rFonts w:hint="eastAsia" w:ascii="宋体" w:hAnsi="宋体" w:cs="宋体"/>
          <w:color w:val="000000"/>
          <w:sz w:val="24"/>
        </w:rPr>
        <w:t xml:space="preserve">  </w:t>
      </w:r>
    </w:p>
    <w:p w14:paraId="69DE99F5">
      <w:pPr>
        <w:spacing w:line="360" w:lineRule="auto"/>
        <w:ind w:firstLine="554" w:firstLineChars="200"/>
        <w:outlineLvl w:val="1"/>
        <w:rPr>
          <w:rFonts w:ascii="宋体" w:hAnsi="宋体" w:cs="宋体"/>
          <w:b/>
          <w:bCs/>
          <w:sz w:val="28"/>
          <w:szCs w:val="28"/>
        </w:rPr>
      </w:pPr>
      <w:bookmarkStart w:id="72" w:name="_Toc572"/>
      <w:r>
        <w:rPr>
          <w:rFonts w:hint="eastAsia" w:ascii="宋体" w:hAnsi="宋体" w:cs="宋体"/>
          <w:b/>
          <w:bCs/>
          <w:spacing w:val="-2"/>
          <w:sz w:val="28"/>
          <w:szCs w:val="28"/>
        </w:rPr>
        <w:t>五、服务标准</w:t>
      </w:r>
      <w:bookmarkEnd w:id="72"/>
    </w:p>
    <w:p w14:paraId="1BC53608">
      <w:pPr>
        <w:pStyle w:val="231"/>
        <w:spacing w:after="0" w:line="240" w:lineRule="auto"/>
        <w:ind w:left="0" w:leftChars="0" w:firstLine="562" w:firstLineChars="200"/>
        <w:jc w:val="both"/>
        <w:rPr>
          <w:rFonts w:ascii="宋体" w:hAnsi="宋体" w:cs="宋体"/>
          <w:b/>
          <w:bCs/>
          <w:color w:val="FF0000"/>
          <w:sz w:val="28"/>
          <w:szCs w:val="28"/>
        </w:rPr>
      </w:pPr>
      <w:r>
        <w:rPr>
          <w:rFonts w:hint="eastAsia" w:ascii="宋体" w:hAnsi="宋体" w:cs="宋体"/>
          <w:b/>
          <w:bCs/>
          <w:color w:val="FF0000"/>
          <w:sz w:val="28"/>
          <w:szCs w:val="28"/>
        </w:rPr>
        <w:t>（一）日常管理与服务标准</w:t>
      </w:r>
    </w:p>
    <w:tbl>
      <w:tblPr>
        <w:tblStyle w:val="156"/>
        <w:tblW w:w="894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1"/>
        <w:gridCol w:w="1806"/>
        <w:gridCol w:w="5907"/>
      </w:tblGrid>
      <w:tr w14:paraId="36D9B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231" w:type="dxa"/>
            <w:vMerge w:val="restart"/>
            <w:tcBorders>
              <w:bottom w:val="nil"/>
            </w:tcBorders>
            <w:vAlign w:val="center"/>
          </w:tcPr>
          <w:p w14:paraId="77B68534">
            <w:pPr>
              <w:rPr>
                <w:rFonts w:ascii="宋体" w:hAnsi="宋体" w:cs="宋体"/>
                <w:sz w:val="22"/>
                <w:szCs w:val="20"/>
              </w:rPr>
            </w:pPr>
          </w:p>
          <w:p w14:paraId="302113DA">
            <w:pPr>
              <w:rPr>
                <w:rFonts w:ascii="宋体" w:hAnsi="宋体" w:cs="宋体"/>
                <w:sz w:val="22"/>
                <w:szCs w:val="20"/>
              </w:rPr>
            </w:pPr>
          </w:p>
          <w:p w14:paraId="000364B2">
            <w:pPr>
              <w:rPr>
                <w:rFonts w:ascii="宋体" w:hAnsi="宋体" w:cs="宋体"/>
                <w:sz w:val="22"/>
                <w:szCs w:val="20"/>
              </w:rPr>
            </w:pPr>
            <w:r>
              <w:rPr>
                <w:rFonts w:hint="eastAsia" w:ascii="宋体" w:hAnsi="宋体" w:cs="宋体"/>
                <w:spacing w:val="-18"/>
                <w:sz w:val="22"/>
                <w:szCs w:val="20"/>
              </w:rPr>
              <w:t>日常管理</w:t>
            </w:r>
            <w:r>
              <w:rPr>
                <w:rFonts w:hint="eastAsia" w:ascii="宋体" w:hAnsi="宋体" w:cs="宋体"/>
                <w:spacing w:val="-3"/>
                <w:w w:val="98"/>
                <w:sz w:val="22"/>
                <w:szCs w:val="20"/>
              </w:rPr>
              <w:t>与服务</w:t>
            </w:r>
          </w:p>
        </w:tc>
        <w:tc>
          <w:tcPr>
            <w:tcW w:w="1806" w:type="dxa"/>
            <w:vAlign w:val="center"/>
          </w:tcPr>
          <w:p w14:paraId="1D3AB39E">
            <w:pPr>
              <w:rPr>
                <w:rFonts w:ascii="宋体" w:hAnsi="宋体" w:cs="宋体"/>
                <w:sz w:val="22"/>
                <w:szCs w:val="20"/>
              </w:rPr>
            </w:pPr>
            <w:r>
              <w:rPr>
                <w:rFonts w:hint="eastAsia" w:ascii="宋体" w:hAnsi="宋体" w:cs="宋体"/>
                <w:spacing w:val="-4"/>
                <w:sz w:val="22"/>
                <w:szCs w:val="20"/>
              </w:rPr>
              <w:t>着装要求</w:t>
            </w:r>
          </w:p>
        </w:tc>
        <w:tc>
          <w:tcPr>
            <w:tcW w:w="5907" w:type="dxa"/>
            <w:vAlign w:val="center"/>
          </w:tcPr>
          <w:p w14:paraId="70097BA7">
            <w:pPr>
              <w:rPr>
                <w:rFonts w:ascii="宋体" w:hAnsi="宋体" w:cs="宋体"/>
                <w:sz w:val="22"/>
                <w:szCs w:val="20"/>
              </w:rPr>
            </w:pPr>
            <w:r>
              <w:rPr>
                <w:rFonts w:hint="eastAsia" w:ascii="宋体" w:hAnsi="宋体" w:cs="宋体"/>
                <w:spacing w:val="-3"/>
                <w:sz w:val="22"/>
                <w:szCs w:val="20"/>
              </w:rPr>
              <w:t>统一着装，挂牌上岗，仪表整洁规范。</w:t>
            </w:r>
          </w:p>
        </w:tc>
      </w:tr>
      <w:tr w14:paraId="2DEC4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231" w:type="dxa"/>
            <w:vMerge w:val="continue"/>
            <w:tcBorders>
              <w:top w:val="nil"/>
              <w:bottom w:val="nil"/>
            </w:tcBorders>
            <w:vAlign w:val="center"/>
          </w:tcPr>
          <w:p w14:paraId="59B70722">
            <w:pPr>
              <w:rPr>
                <w:rFonts w:ascii="宋体" w:hAnsi="宋体" w:cs="宋体"/>
                <w:sz w:val="22"/>
                <w:szCs w:val="20"/>
              </w:rPr>
            </w:pPr>
          </w:p>
        </w:tc>
        <w:tc>
          <w:tcPr>
            <w:tcW w:w="1806" w:type="dxa"/>
            <w:vAlign w:val="center"/>
          </w:tcPr>
          <w:p w14:paraId="5D999923">
            <w:pPr>
              <w:rPr>
                <w:rFonts w:ascii="宋体" w:hAnsi="宋体" w:cs="宋体"/>
                <w:sz w:val="22"/>
                <w:szCs w:val="20"/>
              </w:rPr>
            </w:pPr>
            <w:r>
              <w:rPr>
                <w:rFonts w:hint="eastAsia" w:ascii="宋体" w:hAnsi="宋体" w:cs="宋体"/>
                <w:spacing w:val="-3"/>
                <w:sz w:val="22"/>
                <w:szCs w:val="20"/>
              </w:rPr>
              <w:t>服务时间</w:t>
            </w:r>
          </w:p>
        </w:tc>
        <w:tc>
          <w:tcPr>
            <w:tcW w:w="5907" w:type="dxa"/>
            <w:vAlign w:val="center"/>
          </w:tcPr>
          <w:p w14:paraId="6894C23B">
            <w:pPr>
              <w:rPr>
                <w:rFonts w:ascii="宋体" w:hAnsi="宋体" w:cs="宋体"/>
                <w:sz w:val="22"/>
                <w:szCs w:val="20"/>
              </w:rPr>
            </w:pPr>
            <w:r>
              <w:rPr>
                <w:rFonts w:hint="eastAsia" w:ascii="宋体" w:hAnsi="宋体" w:cs="宋体"/>
                <w:spacing w:val="-2"/>
                <w:sz w:val="22"/>
                <w:szCs w:val="20"/>
              </w:rPr>
              <w:t>安保、监控、工程及设备维护工作须24小时正常运</w:t>
            </w:r>
            <w:r>
              <w:rPr>
                <w:rFonts w:hint="eastAsia" w:ascii="宋体" w:hAnsi="宋体" w:cs="宋体"/>
                <w:spacing w:val="-14"/>
                <w:sz w:val="22"/>
                <w:szCs w:val="20"/>
              </w:rPr>
              <w:t>转。</w:t>
            </w:r>
          </w:p>
        </w:tc>
      </w:tr>
      <w:tr w14:paraId="71390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231" w:type="dxa"/>
            <w:vMerge w:val="continue"/>
            <w:tcBorders>
              <w:top w:val="nil"/>
              <w:bottom w:val="nil"/>
            </w:tcBorders>
            <w:vAlign w:val="center"/>
          </w:tcPr>
          <w:p w14:paraId="5D8ED130">
            <w:pPr>
              <w:rPr>
                <w:rFonts w:ascii="宋体" w:hAnsi="宋体" w:cs="宋体"/>
                <w:sz w:val="22"/>
                <w:szCs w:val="20"/>
              </w:rPr>
            </w:pPr>
          </w:p>
        </w:tc>
        <w:tc>
          <w:tcPr>
            <w:tcW w:w="1806" w:type="dxa"/>
            <w:vAlign w:val="center"/>
          </w:tcPr>
          <w:p w14:paraId="4AFC0756">
            <w:pPr>
              <w:rPr>
                <w:rFonts w:ascii="宋体" w:hAnsi="宋体" w:cs="宋体"/>
                <w:sz w:val="22"/>
                <w:szCs w:val="20"/>
              </w:rPr>
            </w:pPr>
            <w:r>
              <w:rPr>
                <w:rFonts w:hint="eastAsia" w:ascii="宋体" w:hAnsi="宋体" w:cs="宋体"/>
                <w:spacing w:val="-4"/>
                <w:sz w:val="22"/>
                <w:szCs w:val="20"/>
              </w:rPr>
              <w:t>工作计划</w:t>
            </w:r>
          </w:p>
        </w:tc>
        <w:tc>
          <w:tcPr>
            <w:tcW w:w="5907" w:type="dxa"/>
            <w:vAlign w:val="center"/>
          </w:tcPr>
          <w:p w14:paraId="41B25378">
            <w:pPr>
              <w:rPr>
                <w:rFonts w:ascii="宋体" w:hAnsi="宋体" w:cs="宋体"/>
                <w:sz w:val="22"/>
                <w:szCs w:val="20"/>
              </w:rPr>
            </w:pPr>
            <w:r>
              <w:rPr>
                <w:rFonts w:hint="eastAsia" w:ascii="宋体" w:hAnsi="宋体" w:cs="宋体"/>
                <w:spacing w:val="-7"/>
                <w:sz w:val="22"/>
                <w:szCs w:val="20"/>
              </w:rPr>
              <w:t>制定后勤管理与物业服务工作计划并组织实</w:t>
            </w:r>
            <w:r>
              <w:rPr>
                <w:rFonts w:hint="eastAsia" w:ascii="宋体" w:hAnsi="宋体" w:cs="宋体"/>
                <w:spacing w:val="-8"/>
                <w:sz w:val="22"/>
                <w:szCs w:val="20"/>
              </w:rPr>
              <w:t>施，  每季</w:t>
            </w:r>
            <w:r>
              <w:rPr>
                <w:rFonts w:hint="eastAsia" w:ascii="宋体" w:hAnsi="宋体" w:cs="宋体"/>
                <w:spacing w:val="-3"/>
                <w:sz w:val="22"/>
                <w:szCs w:val="20"/>
              </w:rPr>
              <w:t>度向采购人报告一次计划实施情况。</w:t>
            </w:r>
          </w:p>
        </w:tc>
      </w:tr>
      <w:tr w14:paraId="5A9C4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231" w:type="dxa"/>
            <w:vMerge w:val="continue"/>
            <w:tcBorders>
              <w:top w:val="nil"/>
              <w:bottom w:val="nil"/>
            </w:tcBorders>
            <w:vAlign w:val="center"/>
          </w:tcPr>
          <w:p w14:paraId="348085BE">
            <w:pPr>
              <w:rPr>
                <w:rFonts w:ascii="宋体" w:hAnsi="宋体" w:cs="宋体"/>
                <w:sz w:val="22"/>
                <w:szCs w:val="20"/>
              </w:rPr>
            </w:pPr>
          </w:p>
        </w:tc>
        <w:tc>
          <w:tcPr>
            <w:tcW w:w="1806" w:type="dxa"/>
            <w:vAlign w:val="center"/>
          </w:tcPr>
          <w:p w14:paraId="4197AAE8">
            <w:pPr>
              <w:rPr>
                <w:rFonts w:ascii="宋体" w:hAnsi="宋体" w:cs="宋体"/>
                <w:sz w:val="22"/>
                <w:szCs w:val="20"/>
              </w:rPr>
            </w:pPr>
            <w:r>
              <w:rPr>
                <w:rFonts w:hint="eastAsia" w:ascii="宋体" w:hAnsi="宋体" w:cs="宋体"/>
                <w:spacing w:val="-3"/>
                <w:sz w:val="22"/>
                <w:szCs w:val="20"/>
              </w:rPr>
              <w:t>服务规范</w:t>
            </w:r>
          </w:p>
        </w:tc>
        <w:tc>
          <w:tcPr>
            <w:tcW w:w="5907" w:type="dxa"/>
            <w:vAlign w:val="center"/>
          </w:tcPr>
          <w:p w14:paraId="72845ACC">
            <w:pPr>
              <w:rPr>
                <w:rFonts w:ascii="宋体" w:hAnsi="宋体" w:cs="宋体"/>
                <w:sz w:val="22"/>
                <w:szCs w:val="20"/>
              </w:rPr>
            </w:pPr>
            <w:r>
              <w:rPr>
                <w:rFonts w:hint="eastAsia" w:ascii="宋体" w:hAnsi="宋体" w:cs="宋体"/>
                <w:spacing w:val="-2"/>
                <w:sz w:val="22"/>
                <w:szCs w:val="20"/>
              </w:rPr>
              <w:t>应符合后勤管理行业相关标准。做到文明服务、优质</w:t>
            </w:r>
            <w:r>
              <w:rPr>
                <w:rFonts w:hint="eastAsia" w:ascii="宋体" w:hAnsi="宋体" w:cs="宋体"/>
                <w:spacing w:val="-10"/>
                <w:sz w:val="22"/>
                <w:szCs w:val="20"/>
              </w:rPr>
              <w:t>服务。</w:t>
            </w:r>
          </w:p>
        </w:tc>
      </w:tr>
      <w:tr w14:paraId="70D42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1231" w:type="dxa"/>
            <w:vMerge w:val="continue"/>
            <w:tcBorders>
              <w:top w:val="nil"/>
              <w:bottom w:val="nil"/>
            </w:tcBorders>
            <w:vAlign w:val="center"/>
          </w:tcPr>
          <w:p w14:paraId="37548A0D">
            <w:pPr>
              <w:rPr>
                <w:rFonts w:ascii="宋体" w:hAnsi="宋体" w:cs="宋体"/>
                <w:sz w:val="22"/>
                <w:szCs w:val="20"/>
              </w:rPr>
            </w:pPr>
          </w:p>
        </w:tc>
        <w:tc>
          <w:tcPr>
            <w:tcW w:w="1806" w:type="dxa"/>
            <w:vAlign w:val="center"/>
          </w:tcPr>
          <w:p w14:paraId="4140F5AE">
            <w:pPr>
              <w:rPr>
                <w:rFonts w:ascii="宋体" w:hAnsi="宋体" w:cs="宋体"/>
                <w:sz w:val="22"/>
                <w:szCs w:val="20"/>
              </w:rPr>
            </w:pPr>
            <w:r>
              <w:rPr>
                <w:rFonts w:hint="eastAsia" w:ascii="宋体" w:hAnsi="宋体" w:cs="宋体"/>
                <w:spacing w:val="-5"/>
                <w:sz w:val="22"/>
                <w:szCs w:val="20"/>
              </w:rPr>
              <w:t>管理制度</w:t>
            </w:r>
          </w:p>
        </w:tc>
        <w:tc>
          <w:tcPr>
            <w:tcW w:w="5907" w:type="dxa"/>
            <w:vAlign w:val="center"/>
          </w:tcPr>
          <w:p w14:paraId="741DEFB2">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1 、有明确的值班制度和交接班制度，工作有记录。</w:t>
            </w:r>
          </w:p>
          <w:p w14:paraId="3B81778D">
            <w:pPr>
              <w:rPr>
                <w:rFonts w:ascii="宋体" w:hAnsi="宋体" w:cs="宋体"/>
                <w:sz w:val="22"/>
                <w:szCs w:val="20"/>
              </w:rPr>
            </w:pPr>
            <w:r>
              <w:rPr>
                <w:rFonts w:hint="eastAsia" w:ascii="宋体" w:hAnsi="宋体" w:cs="宋体"/>
                <w:color w:val="000000"/>
                <w:sz w:val="22"/>
                <w:szCs w:val="20"/>
                <w:shd w:val="clear" w:color="auto" w:fill="FFFFFF"/>
              </w:rPr>
              <w:t>2、制定管理处内部管理制度、考核制度和培训制度。</w:t>
            </w:r>
          </w:p>
        </w:tc>
      </w:tr>
      <w:tr w14:paraId="4D402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1231" w:type="dxa"/>
            <w:vMerge w:val="continue"/>
            <w:tcBorders>
              <w:top w:val="nil"/>
              <w:bottom w:val="nil"/>
            </w:tcBorders>
            <w:vAlign w:val="center"/>
          </w:tcPr>
          <w:p w14:paraId="1602EE51">
            <w:pPr>
              <w:rPr>
                <w:rFonts w:ascii="宋体" w:hAnsi="宋体" w:cs="宋体"/>
                <w:sz w:val="22"/>
                <w:szCs w:val="20"/>
              </w:rPr>
            </w:pPr>
          </w:p>
        </w:tc>
        <w:tc>
          <w:tcPr>
            <w:tcW w:w="1806" w:type="dxa"/>
            <w:vAlign w:val="center"/>
          </w:tcPr>
          <w:p w14:paraId="097D6495">
            <w:pPr>
              <w:rPr>
                <w:rFonts w:ascii="宋体" w:hAnsi="宋体" w:cs="宋体"/>
                <w:sz w:val="22"/>
                <w:szCs w:val="20"/>
              </w:rPr>
            </w:pPr>
            <w:r>
              <w:rPr>
                <w:rFonts w:hint="eastAsia" w:ascii="宋体" w:hAnsi="宋体" w:cs="宋体"/>
                <w:spacing w:val="-4"/>
                <w:sz w:val="22"/>
                <w:szCs w:val="20"/>
              </w:rPr>
              <w:t>制度公示</w:t>
            </w:r>
          </w:p>
        </w:tc>
        <w:tc>
          <w:tcPr>
            <w:tcW w:w="5907" w:type="dxa"/>
            <w:vAlign w:val="center"/>
          </w:tcPr>
          <w:p w14:paraId="2A8862B9">
            <w:pPr>
              <w:rPr>
                <w:rFonts w:ascii="宋体" w:hAnsi="宋体" w:cs="宋体"/>
                <w:sz w:val="22"/>
                <w:szCs w:val="20"/>
              </w:rPr>
            </w:pPr>
            <w:r>
              <w:rPr>
                <w:rFonts w:hint="eastAsia" w:ascii="宋体" w:hAnsi="宋体" w:cs="宋体"/>
                <w:spacing w:val="-2"/>
                <w:sz w:val="22"/>
                <w:szCs w:val="20"/>
              </w:rPr>
              <w:t>服务场所公示办事制度、办事规章、服务标准、急修服务内容、投诉渠道。服务窗口布置应人性化。</w:t>
            </w:r>
          </w:p>
        </w:tc>
      </w:tr>
      <w:tr w14:paraId="5D2B6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231" w:type="dxa"/>
            <w:vMerge w:val="continue"/>
            <w:tcBorders>
              <w:top w:val="nil"/>
              <w:bottom w:val="nil"/>
            </w:tcBorders>
            <w:vAlign w:val="center"/>
          </w:tcPr>
          <w:p w14:paraId="324C3430">
            <w:pPr>
              <w:rPr>
                <w:rFonts w:ascii="宋体" w:hAnsi="宋体" w:cs="宋体"/>
                <w:sz w:val="22"/>
                <w:szCs w:val="20"/>
              </w:rPr>
            </w:pPr>
          </w:p>
        </w:tc>
        <w:tc>
          <w:tcPr>
            <w:tcW w:w="1806" w:type="dxa"/>
            <w:vAlign w:val="center"/>
          </w:tcPr>
          <w:p w14:paraId="307AE0E4">
            <w:pPr>
              <w:rPr>
                <w:rFonts w:ascii="宋体" w:hAnsi="宋体" w:cs="宋体"/>
                <w:sz w:val="22"/>
                <w:szCs w:val="20"/>
              </w:rPr>
            </w:pPr>
            <w:r>
              <w:rPr>
                <w:rFonts w:hint="eastAsia" w:ascii="宋体" w:hAnsi="宋体" w:cs="宋体"/>
                <w:spacing w:val="-4"/>
                <w:sz w:val="22"/>
                <w:szCs w:val="20"/>
              </w:rPr>
              <w:t>满意度调查</w:t>
            </w:r>
          </w:p>
        </w:tc>
        <w:tc>
          <w:tcPr>
            <w:tcW w:w="5907" w:type="dxa"/>
            <w:vAlign w:val="center"/>
          </w:tcPr>
          <w:p w14:paraId="7512614B">
            <w:pPr>
              <w:rPr>
                <w:rFonts w:ascii="宋体" w:hAnsi="宋体" w:cs="宋体"/>
                <w:sz w:val="22"/>
                <w:szCs w:val="20"/>
              </w:rPr>
            </w:pPr>
            <w:r>
              <w:rPr>
                <w:rFonts w:hint="eastAsia" w:ascii="宋体" w:hAnsi="宋体" w:cs="宋体"/>
                <w:spacing w:val="-7"/>
                <w:sz w:val="22"/>
                <w:szCs w:val="20"/>
              </w:rPr>
              <w:t>每季度一次进行满意情况测评，对测评结果分析并及</w:t>
            </w:r>
            <w:r>
              <w:rPr>
                <w:rFonts w:hint="eastAsia" w:ascii="宋体" w:hAnsi="宋体" w:cs="宋体"/>
                <w:spacing w:val="-11"/>
                <w:w w:val="99"/>
                <w:sz w:val="22"/>
                <w:szCs w:val="20"/>
              </w:rPr>
              <w:t>时整改。</w:t>
            </w:r>
          </w:p>
        </w:tc>
      </w:tr>
      <w:tr w14:paraId="61DD4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231" w:type="dxa"/>
            <w:vMerge w:val="continue"/>
            <w:tcBorders>
              <w:top w:val="nil"/>
              <w:bottom w:val="nil"/>
            </w:tcBorders>
            <w:vAlign w:val="center"/>
          </w:tcPr>
          <w:p w14:paraId="65CC3921">
            <w:pPr>
              <w:rPr>
                <w:rFonts w:ascii="宋体" w:hAnsi="宋体" w:cs="宋体"/>
                <w:sz w:val="22"/>
                <w:szCs w:val="20"/>
              </w:rPr>
            </w:pPr>
          </w:p>
        </w:tc>
        <w:tc>
          <w:tcPr>
            <w:tcW w:w="1806" w:type="dxa"/>
            <w:vAlign w:val="center"/>
          </w:tcPr>
          <w:p w14:paraId="66B891AF">
            <w:pPr>
              <w:rPr>
                <w:rFonts w:ascii="宋体" w:hAnsi="宋体" w:cs="宋体"/>
                <w:sz w:val="22"/>
                <w:szCs w:val="20"/>
              </w:rPr>
            </w:pPr>
            <w:r>
              <w:rPr>
                <w:rFonts w:hint="eastAsia" w:ascii="宋体" w:hAnsi="宋体" w:cs="宋体"/>
                <w:spacing w:val="-3"/>
                <w:sz w:val="22"/>
                <w:szCs w:val="20"/>
              </w:rPr>
              <w:t>档案管理</w:t>
            </w:r>
          </w:p>
        </w:tc>
        <w:tc>
          <w:tcPr>
            <w:tcW w:w="5907" w:type="dxa"/>
            <w:vAlign w:val="center"/>
          </w:tcPr>
          <w:p w14:paraId="51B9D997">
            <w:pPr>
              <w:rPr>
                <w:rFonts w:ascii="宋体" w:hAnsi="宋体" w:cs="宋体"/>
                <w:sz w:val="22"/>
                <w:szCs w:val="20"/>
              </w:rPr>
            </w:pPr>
            <w:r>
              <w:rPr>
                <w:rFonts w:hint="eastAsia" w:ascii="宋体" w:hAnsi="宋体" w:cs="宋体"/>
                <w:spacing w:val="-8"/>
                <w:sz w:val="22"/>
                <w:szCs w:val="20"/>
              </w:rPr>
              <w:t>建立档案管理制度，建立健全后勤管理档案（包括设</w:t>
            </w:r>
            <w:r>
              <w:rPr>
                <w:rFonts w:hint="eastAsia" w:ascii="宋体" w:hAnsi="宋体" w:cs="宋体"/>
                <w:spacing w:val="-3"/>
                <w:sz w:val="22"/>
                <w:szCs w:val="20"/>
              </w:rPr>
              <w:t>备管理档案、日常管理档案等）。</w:t>
            </w:r>
          </w:p>
        </w:tc>
      </w:tr>
      <w:tr w14:paraId="27E4C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231" w:type="dxa"/>
            <w:vMerge w:val="continue"/>
            <w:tcBorders>
              <w:top w:val="nil"/>
              <w:bottom w:val="nil"/>
            </w:tcBorders>
            <w:vAlign w:val="center"/>
          </w:tcPr>
          <w:p w14:paraId="013BDD5E">
            <w:pPr>
              <w:rPr>
                <w:rFonts w:ascii="宋体" w:hAnsi="宋体" w:cs="宋体"/>
                <w:sz w:val="22"/>
                <w:szCs w:val="20"/>
              </w:rPr>
            </w:pPr>
          </w:p>
        </w:tc>
        <w:tc>
          <w:tcPr>
            <w:tcW w:w="1806" w:type="dxa"/>
            <w:vAlign w:val="center"/>
          </w:tcPr>
          <w:p w14:paraId="70A811CC">
            <w:pPr>
              <w:rPr>
                <w:rFonts w:ascii="宋体" w:hAnsi="宋体" w:cs="宋体"/>
                <w:sz w:val="22"/>
                <w:szCs w:val="20"/>
              </w:rPr>
            </w:pPr>
            <w:r>
              <w:rPr>
                <w:rFonts w:hint="eastAsia" w:ascii="宋体" w:hAnsi="宋体" w:cs="宋体"/>
                <w:spacing w:val="-3"/>
                <w:sz w:val="22"/>
                <w:szCs w:val="20"/>
              </w:rPr>
              <w:t>会议服务</w:t>
            </w:r>
          </w:p>
        </w:tc>
        <w:tc>
          <w:tcPr>
            <w:tcW w:w="5907" w:type="dxa"/>
            <w:vAlign w:val="center"/>
          </w:tcPr>
          <w:p w14:paraId="7ABFB738">
            <w:pPr>
              <w:rPr>
                <w:rFonts w:ascii="宋体" w:hAnsi="宋体" w:cs="宋体"/>
                <w:sz w:val="22"/>
                <w:szCs w:val="20"/>
              </w:rPr>
            </w:pPr>
            <w:r>
              <w:rPr>
                <w:rFonts w:hint="eastAsia" w:ascii="宋体" w:hAnsi="宋体" w:cs="宋体"/>
                <w:spacing w:val="-10"/>
                <w:sz w:val="22"/>
                <w:szCs w:val="20"/>
              </w:rPr>
              <w:t>根据采购人工作需求，负责会议室桌椅、设备布置摆</w:t>
            </w:r>
            <w:r>
              <w:rPr>
                <w:rFonts w:hint="eastAsia" w:ascii="宋体" w:hAnsi="宋体" w:cs="宋体"/>
                <w:spacing w:val="-3"/>
                <w:sz w:val="22"/>
                <w:szCs w:val="20"/>
              </w:rPr>
              <w:t>放，办公家具的布置、摆放、移动。</w:t>
            </w:r>
          </w:p>
        </w:tc>
      </w:tr>
      <w:tr w14:paraId="08580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trPr>
        <w:tc>
          <w:tcPr>
            <w:tcW w:w="1231" w:type="dxa"/>
            <w:vMerge w:val="continue"/>
            <w:tcBorders>
              <w:top w:val="nil"/>
              <w:bottom w:val="nil"/>
            </w:tcBorders>
            <w:vAlign w:val="center"/>
          </w:tcPr>
          <w:p w14:paraId="0F58B287">
            <w:pPr>
              <w:rPr>
                <w:rFonts w:ascii="宋体" w:hAnsi="宋体" w:cs="宋体"/>
                <w:sz w:val="22"/>
                <w:szCs w:val="20"/>
              </w:rPr>
            </w:pPr>
          </w:p>
        </w:tc>
        <w:tc>
          <w:tcPr>
            <w:tcW w:w="1806" w:type="dxa"/>
            <w:vAlign w:val="center"/>
          </w:tcPr>
          <w:p w14:paraId="58C59F30">
            <w:pPr>
              <w:rPr>
                <w:rFonts w:ascii="宋体" w:hAnsi="宋体" w:cs="宋体"/>
                <w:sz w:val="22"/>
                <w:szCs w:val="20"/>
              </w:rPr>
            </w:pPr>
          </w:p>
          <w:p w14:paraId="3078CC7B">
            <w:pPr>
              <w:rPr>
                <w:rFonts w:ascii="宋体" w:hAnsi="宋体" w:cs="宋体"/>
                <w:sz w:val="22"/>
                <w:szCs w:val="20"/>
              </w:rPr>
            </w:pPr>
            <w:r>
              <w:rPr>
                <w:rFonts w:hint="eastAsia" w:ascii="宋体" w:hAnsi="宋体" w:cs="宋体"/>
                <w:spacing w:val="-3"/>
                <w:sz w:val="22"/>
                <w:szCs w:val="20"/>
              </w:rPr>
              <w:t>耗材更新</w:t>
            </w:r>
          </w:p>
        </w:tc>
        <w:tc>
          <w:tcPr>
            <w:tcW w:w="5907" w:type="dxa"/>
            <w:vAlign w:val="center"/>
          </w:tcPr>
          <w:p w14:paraId="25494E92">
            <w:pPr>
              <w:rPr>
                <w:rFonts w:ascii="宋体" w:hAnsi="宋体" w:cs="宋体"/>
                <w:sz w:val="22"/>
                <w:szCs w:val="20"/>
              </w:rPr>
            </w:pPr>
            <w:r>
              <w:rPr>
                <w:rFonts w:hint="eastAsia" w:ascii="宋体" w:hAnsi="宋体" w:cs="宋体"/>
                <w:spacing w:val="-2"/>
                <w:sz w:val="22"/>
                <w:szCs w:val="20"/>
              </w:rPr>
              <w:t>在服务方案中明确保洁工具更新频率下限、保洁耗材</w:t>
            </w:r>
            <w:r>
              <w:rPr>
                <w:rFonts w:hint="eastAsia" w:ascii="宋体" w:hAnsi="宋体" w:cs="宋体"/>
                <w:spacing w:val="-8"/>
                <w:sz w:val="22"/>
                <w:szCs w:val="20"/>
              </w:rPr>
              <w:t>补充频率、数量下限并执行，根据采购方需求、实际</w:t>
            </w:r>
            <w:r>
              <w:rPr>
                <w:rFonts w:hint="eastAsia" w:ascii="宋体" w:hAnsi="宋体" w:cs="宋体"/>
                <w:spacing w:val="-4"/>
                <w:sz w:val="22"/>
                <w:szCs w:val="20"/>
              </w:rPr>
              <w:t>消耗情况及时补充更新。</w:t>
            </w:r>
          </w:p>
        </w:tc>
      </w:tr>
      <w:tr w14:paraId="5F09D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1231" w:type="dxa"/>
            <w:vMerge w:val="continue"/>
            <w:tcBorders>
              <w:top w:val="nil"/>
            </w:tcBorders>
            <w:vAlign w:val="center"/>
          </w:tcPr>
          <w:p w14:paraId="330E361F">
            <w:pPr>
              <w:rPr>
                <w:rFonts w:ascii="宋体" w:hAnsi="宋体" w:cs="宋体"/>
                <w:sz w:val="22"/>
                <w:szCs w:val="20"/>
              </w:rPr>
            </w:pPr>
          </w:p>
        </w:tc>
        <w:tc>
          <w:tcPr>
            <w:tcW w:w="1806" w:type="dxa"/>
            <w:vAlign w:val="center"/>
          </w:tcPr>
          <w:p w14:paraId="433F16CF">
            <w:pPr>
              <w:rPr>
                <w:rFonts w:ascii="宋体" w:hAnsi="宋体" w:cs="宋体"/>
                <w:sz w:val="22"/>
                <w:szCs w:val="20"/>
              </w:rPr>
            </w:pPr>
          </w:p>
          <w:p w14:paraId="665ACAFA">
            <w:pPr>
              <w:rPr>
                <w:rFonts w:ascii="宋体" w:hAnsi="宋体" w:cs="宋体"/>
                <w:sz w:val="22"/>
                <w:szCs w:val="20"/>
              </w:rPr>
            </w:pPr>
            <w:r>
              <w:rPr>
                <w:rFonts w:hint="eastAsia" w:ascii="宋体" w:hAnsi="宋体" w:cs="宋体"/>
                <w:spacing w:val="-3"/>
                <w:sz w:val="22"/>
                <w:szCs w:val="20"/>
              </w:rPr>
              <w:t>其他</w:t>
            </w:r>
          </w:p>
        </w:tc>
        <w:tc>
          <w:tcPr>
            <w:tcW w:w="5907" w:type="dxa"/>
            <w:vAlign w:val="center"/>
          </w:tcPr>
          <w:p w14:paraId="4429D979">
            <w:pPr>
              <w:rPr>
                <w:rFonts w:ascii="宋体" w:hAnsi="宋体" w:cs="宋体"/>
                <w:sz w:val="22"/>
                <w:szCs w:val="20"/>
              </w:rPr>
            </w:pPr>
            <w:r>
              <w:rPr>
                <w:rFonts w:hint="eastAsia" w:ascii="宋体" w:hAnsi="宋体" w:cs="宋体"/>
                <w:sz w:val="22"/>
                <w:szCs w:val="20"/>
              </w:rPr>
              <w:t>1</w:t>
            </w:r>
            <w:r>
              <w:rPr>
                <w:rFonts w:hint="eastAsia" w:ascii="宋体" w:hAnsi="宋体" w:cs="宋体"/>
                <w:spacing w:val="-13"/>
                <w:sz w:val="22"/>
                <w:szCs w:val="20"/>
              </w:rPr>
              <w:t xml:space="preserve"> </w:t>
            </w:r>
            <w:r>
              <w:rPr>
                <w:rFonts w:hint="eastAsia" w:ascii="宋体" w:hAnsi="宋体" w:cs="宋体"/>
                <w:sz w:val="22"/>
                <w:szCs w:val="20"/>
              </w:rPr>
              <w:t>、负责重大节假日及举办重要活动期间的横幅悬挂</w:t>
            </w:r>
            <w:r>
              <w:rPr>
                <w:rFonts w:hint="eastAsia" w:ascii="宋体" w:hAnsi="宋体" w:cs="宋体"/>
                <w:spacing w:val="-4"/>
                <w:sz w:val="22"/>
                <w:szCs w:val="20"/>
              </w:rPr>
              <w:t>及鲜花摆放等工作。</w:t>
            </w:r>
          </w:p>
          <w:p w14:paraId="1488CC14">
            <w:pPr>
              <w:rPr>
                <w:rFonts w:ascii="宋体" w:hAnsi="宋体" w:cs="宋体"/>
                <w:sz w:val="22"/>
                <w:szCs w:val="20"/>
              </w:rPr>
            </w:pPr>
            <w:r>
              <w:rPr>
                <w:rFonts w:hint="eastAsia" w:ascii="宋体" w:hAnsi="宋体" w:cs="宋体"/>
                <w:spacing w:val="-8"/>
                <w:sz w:val="22"/>
                <w:szCs w:val="20"/>
              </w:rPr>
              <w:t>2</w:t>
            </w:r>
            <w:r>
              <w:rPr>
                <w:rFonts w:hint="eastAsia" w:ascii="宋体" w:hAnsi="宋体" w:cs="宋体"/>
                <w:spacing w:val="-20"/>
                <w:sz w:val="22"/>
                <w:szCs w:val="20"/>
              </w:rPr>
              <w:t xml:space="preserve"> </w:t>
            </w:r>
            <w:r>
              <w:rPr>
                <w:rFonts w:hint="eastAsia" w:ascii="宋体" w:hAnsi="宋体" w:cs="宋体"/>
                <w:spacing w:val="-8"/>
                <w:sz w:val="22"/>
                <w:szCs w:val="20"/>
              </w:rPr>
              <w:t>、根据采购方需求，完成绿化养护、建筑设施养护及其他临时工作或综合管理服务。</w:t>
            </w:r>
          </w:p>
        </w:tc>
      </w:tr>
    </w:tbl>
    <w:p w14:paraId="184709F0">
      <w:pPr>
        <w:pStyle w:val="231"/>
        <w:spacing w:after="0"/>
        <w:ind w:left="0" w:leftChars="0" w:firstLine="562" w:firstLineChars="200"/>
        <w:jc w:val="both"/>
        <w:rPr>
          <w:rFonts w:ascii="宋体" w:hAnsi="宋体" w:cs="宋体"/>
          <w:b/>
          <w:bCs/>
          <w:color w:val="FF0000"/>
          <w:sz w:val="28"/>
          <w:szCs w:val="28"/>
        </w:rPr>
      </w:pPr>
      <w:r>
        <w:rPr>
          <w:rFonts w:hint="eastAsia" w:ascii="宋体" w:hAnsi="宋体" w:cs="宋体"/>
          <w:b/>
          <w:bCs/>
          <w:color w:val="FF0000"/>
          <w:sz w:val="28"/>
          <w:szCs w:val="28"/>
        </w:rPr>
        <w:t>（二）安保服务管理要求</w:t>
      </w:r>
    </w:p>
    <w:p w14:paraId="7854F2CF">
      <w:pPr>
        <w:pStyle w:val="247"/>
        <w:topLinePunct/>
        <w:spacing w:line="360" w:lineRule="auto"/>
        <w:ind w:firstLine="480" w:firstLineChars="200"/>
        <w:jc w:val="both"/>
        <w:rPr>
          <w:rFonts w:ascii="宋体" w:hAnsi="宋体" w:eastAsia="宋体" w:cs="宋体"/>
          <w:b/>
          <w:bCs/>
          <w:kern w:val="2"/>
        </w:rPr>
      </w:pPr>
      <w:r>
        <w:rPr>
          <w:rFonts w:hint="eastAsia" w:ascii="宋体" w:hAnsi="宋体" w:eastAsia="宋体" w:cs="宋体"/>
          <w:kern w:val="2"/>
        </w:rPr>
        <w:t>1、保安人员要文明服务要求；</w:t>
      </w:r>
    </w:p>
    <w:p w14:paraId="6DF3D8FF">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（1）上岗时着装整齐、统一、规范，按标准完成各项服务范围内以及采购人安排的任务；</w:t>
      </w:r>
    </w:p>
    <w:p w14:paraId="3ED89AC2">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（2）为每位保安人员配备橡胶棒、对讲机、防爆器材等执勤设备，费用含在投标报价中。</w:t>
      </w:r>
    </w:p>
    <w:p w14:paraId="16B5E284">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 xml:space="preserve">2、安全防范 </w:t>
      </w:r>
    </w:p>
    <w:p w14:paraId="5ABF93DB">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（1）人员组织</w:t>
      </w:r>
    </w:p>
    <w:p w14:paraId="0298115A">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①接受过安全护卫或相关训练，掌握基本安全护卫技能，并定期进行安全防范学习，增强安全防范能力。</w:t>
      </w:r>
    </w:p>
    <w:p w14:paraId="1EDE668A">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②熟悉大楼环境，熟悉后勤管理及有关法律法规，能恰当地处理和应对护卫工作；品质好，作风正派，热爱安全护卫工作，无犯罪记录；</w:t>
      </w:r>
    </w:p>
    <w:p w14:paraId="5510827E">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③安全护卫人员配备对讲装置和其他必备的安全护卫工具；</w:t>
      </w:r>
    </w:p>
    <w:p w14:paraId="756AFBC1">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④当班时佩戴通知标志的执勤工号，穿戴统一制服，工具佩戴规范，仪容仪表规范整齐；</w:t>
      </w:r>
    </w:p>
    <w:p w14:paraId="24490F1B">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⑤交接班制度完善，并有工作及交接记录。</w:t>
      </w:r>
    </w:p>
    <w:p w14:paraId="21D5392E">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（2）巡逻</w:t>
      </w:r>
    </w:p>
    <w:p w14:paraId="0BFF604C">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白天不间断巡逻，夜间巡逻每3小时一次。重点部位、重点时间以及特殊情况加强巡逻；及时发现和处理安全隐患；在遇到突发事件时，及时报告警方及采购人，必要时采取正当防卫，防止事态扩大，协助保护现场和证据；安全巡逻有记录有检查。巡逻时使用电子巡更设备作为签到记录。关闭巡查区域水电门窗等。</w:t>
      </w:r>
    </w:p>
    <w:p w14:paraId="5F1DFB21">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（3）紧急事故反应</w:t>
      </w:r>
    </w:p>
    <w:p w14:paraId="1C3811AF">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①制定紧急事故处理预案，至少包括：火灾、爆炸、安全疏散以及其他应急等。</w:t>
      </w:r>
    </w:p>
    <w:p w14:paraId="2E0B213F">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②有紧急事件救护组织，并始终处于紧急事故反应状态；按消防要求组织进行疏散演习；对紧急事故做出快速、正确的反应；尽可能减少破坏和损失程度。</w:t>
      </w:r>
    </w:p>
    <w:p w14:paraId="7C0729FA">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（4）交通、车辆管理</w:t>
      </w:r>
    </w:p>
    <w:p w14:paraId="39E24F96">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①维持交通秩序，发现车辆未上锁及乱停乱放的现象进行纠正，发现偷盗车辆、破坏交通设施现象及时制止。</w:t>
      </w:r>
    </w:p>
    <w:p w14:paraId="3A13F965">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②做好地面、地下停车场机动车与非机动车进出与停放管理。</w:t>
      </w:r>
    </w:p>
    <w:p w14:paraId="2B53719B">
      <w:pPr>
        <w:pStyle w:val="247"/>
        <w:topLinePunct/>
        <w:spacing w:line="360" w:lineRule="auto"/>
        <w:ind w:firstLine="480" w:firstLineChars="200"/>
        <w:jc w:val="both"/>
        <w:rPr>
          <w:rFonts w:ascii="宋体" w:hAnsi="宋体" w:eastAsia="宋体" w:cs="宋体"/>
          <w:b/>
          <w:bCs/>
          <w:kern w:val="2"/>
        </w:rPr>
      </w:pPr>
      <w:r>
        <w:rPr>
          <w:rFonts w:hint="eastAsia" w:ascii="宋体" w:hAnsi="宋体" w:eastAsia="宋体" w:cs="宋体"/>
          <w:kern w:val="2"/>
        </w:rPr>
        <w:t>（5）巡逻岗位职责</w:t>
      </w:r>
    </w:p>
    <w:p w14:paraId="3B3A1FF3">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①巡逻人员必须熟悉后勤管理区域的环境，掌握采购单位的人数及相貌，注意外来人员的流动，发现问题及时向物业经理汇报。</w:t>
      </w:r>
    </w:p>
    <w:p w14:paraId="3FE8828C">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②检查夜间门窗关闭情况，做好安全防范工作，并做好记录。</w:t>
      </w:r>
    </w:p>
    <w:p w14:paraId="55E50375">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③检查公共设施（包括门窗、消防通道等）是否完好或堵塞，发现设备、设施损坏等可疑情况，应立即查明并及时汇报。巡逻中闻道异味、听到可疑声响、可疑物品，要立即查明并报告。</w:t>
      </w:r>
    </w:p>
    <w:p w14:paraId="4DC28E19">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④遇到火警时立即报警，及时和消防监控室联系并向物业经理、采购方后勤负责人员汇报。保护好现场，不得擅自处理。</w:t>
      </w:r>
    </w:p>
    <w:p w14:paraId="3BD232D1">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⑤发现破坏绿化等违章行为要及时制止。</w:t>
      </w:r>
    </w:p>
    <w:p w14:paraId="09F45EAF">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⑥必须保持衣着整洁，精神饱满，文明执勤，积极参与业主单位文明志愿劝导，树立良好形象。</w:t>
      </w:r>
    </w:p>
    <w:p w14:paraId="7EE1227B">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⑦保持后勤管理区域内非当班时的公共场所的清洁卫生。</w:t>
      </w:r>
    </w:p>
    <w:p w14:paraId="1DF4D0C1">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⑧巡逻时按照巡逻路线进行，密切留意周边情况，做到巡逻无死角。</w:t>
      </w:r>
    </w:p>
    <w:p w14:paraId="53F9508E">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⑨认真完成领导交办的其他任务。</w:t>
      </w:r>
    </w:p>
    <w:p w14:paraId="1E944CA0">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3、保安人员交接班制度</w:t>
      </w:r>
    </w:p>
    <w:p w14:paraId="3A4C6553">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（1）准备接班的保安提前15分钟上班，先向上一般地了解岗位工作情况，以便明确工作重点和未处理情况。</w:t>
      </w:r>
    </w:p>
    <w:p w14:paraId="1FD7FAC5">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（2）交接班人员有特殊情况未到达前，当班人员不得离开岗位。</w:t>
      </w:r>
    </w:p>
    <w:p w14:paraId="3BBC1455">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（3）交班人员须将本班工作情况详细教导给下一班，并将本班已完成和待完成工作认真记录在交接班本上，交接双方签名确认。</w:t>
      </w:r>
    </w:p>
    <w:p w14:paraId="3964E6A2">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（4）交班人员须将相关记录写清楚，并将相关记录本交给接班人员。</w:t>
      </w:r>
    </w:p>
    <w:p w14:paraId="6EF0A1F3">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（5）交班人员发现的情况要及时处理，不能移交给下一班的事情要继续在岗位处理完毕，接班人员应协助完成。</w:t>
      </w:r>
    </w:p>
    <w:p w14:paraId="2081E3F6">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（6）如果交班人员离开后，接班人员发现属于上一班之间的问题的，应立即报告。</w:t>
      </w:r>
    </w:p>
    <w:p w14:paraId="3213116F">
      <w:pPr>
        <w:pStyle w:val="247"/>
        <w:topLinePunct/>
        <w:spacing w:line="360" w:lineRule="auto"/>
        <w:ind w:firstLine="480" w:firstLineChars="200"/>
        <w:jc w:val="both"/>
        <w:rPr>
          <w:rFonts w:ascii="宋体" w:hAnsi="宋体" w:eastAsia="宋体" w:cs="宋体"/>
          <w:b/>
          <w:bCs/>
          <w:color w:val="FF0000"/>
          <w:kern w:val="2"/>
        </w:rPr>
      </w:pPr>
      <w:r>
        <w:rPr>
          <w:rFonts w:hint="eastAsia" w:ascii="宋体" w:hAnsi="宋体" w:eastAsia="宋体" w:cs="宋体"/>
          <w:kern w:val="2"/>
        </w:rPr>
        <w:t>（7）接班人员要整理好门卫值班室内务，接班通知进行检查。认真填写《保安值班记录表》。</w:t>
      </w:r>
    </w:p>
    <w:p w14:paraId="2090AA97">
      <w:pPr>
        <w:pStyle w:val="231"/>
        <w:spacing w:after="0"/>
        <w:ind w:left="0" w:leftChars="0" w:firstLine="562" w:firstLineChars="200"/>
        <w:jc w:val="both"/>
        <w:rPr>
          <w:rFonts w:ascii="宋体" w:hAnsi="宋体" w:cs="宋体"/>
          <w:b/>
          <w:bCs/>
          <w:color w:val="FF0000"/>
          <w:sz w:val="28"/>
          <w:szCs w:val="28"/>
          <w:highlight w:val="yellow"/>
        </w:rPr>
      </w:pPr>
      <w:r>
        <w:rPr>
          <w:rFonts w:hint="eastAsia" w:ascii="宋体" w:hAnsi="宋体" w:cs="宋体"/>
          <w:b/>
          <w:bCs/>
          <w:color w:val="FF0000"/>
          <w:sz w:val="28"/>
          <w:szCs w:val="28"/>
        </w:rPr>
        <w:t>（三）保洁服务要求及标准</w:t>
      </w:r>
    </w:p>
    <w:p w14:paraId="68ED1F78">
      <w:pPr>
        <w:pStyle w:val="247"/>
        <w:topLinePunct/>
        <w:spacing w:line="360" w:lineRule="auto"/>
        <w:ind w:firstLine="480" w:firstLineChars="200"/>
        <w:jc w:val="both"/>
        <w:rPr>
          <w:rFonts w:ascii="宋体" w:hAnsi="宋体" w:eastAsia="宋体" w:cs="宋体"/>
          <w:kern w:val="2"/>
          <w:highlight w:val="yellow"/>
        </w:rPr>
      </w:pPr>
      <w:r>
        <w:rPr>
          <w:rFonts w:hint="eastAsia" w:ascii="宋体" w:hAnsi="宋体" w:eastAsia="宋体" w:cs="宋体"/>
          <w:kern w:val="2"/>
        </w:rPr>
        <w:t>1、保洁服务要求：</w:t>
      </w:r>
    </w:p>
    <w:p w14:paraId="6BDD3CC5">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（1）保洁人员应组建公共卫生清洁班 ，每天打扫公共部分做到杂物、废弃物立即清理。</w:t>
      </w:r>
    </w:p>
    <w:p w14:paraId="21714D46">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（2）区域内垃圾实行袋装化，在各楼层公共部位设立公共垃圾箱 ，在露天公共部位设立杂 物箱，由清洁工清远、处理。</w:t>
      </w:r>
    </w:p>
    <w:p w14:paraId="12AE4C13">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（3）区域垃圾实行分类收集（有机垃圾、无机垃圾、有害垃圾），从而达到更高层次的环保效果 。</w:t>
      </w:r>
    </w:p>
    <w:p w14:paraId="43A93FFB">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（4）及时清扫大区域地面积水、垃圾、烟头 ，使地面保持干净 、无杂物、无积水 。</w:t>
      </w:r>
    </w:p>
    <w:p w14:paraId="4F085A2C">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（5）对设备、设施的表面进行清洁 、抹净处理 ，保持洁净 。</w:t>
      </w:r>
    </w:p>
    <w:p w14:paraId="0E782999">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（6）病房、诊室、医护办公室区域 的地面、卫生间、墙面、门窗、通风天棚、雨棚等区域的卫生保洁 。</w:t>
      </w:r>
    </w:p>
    <w:p w14:paraId="32E07D5E">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（7） 病房、治疗室、诊室、医护办公室内各类设备设施（含病房床、床栏 、床头柜、陪伴椅、设备带、电视机、衣柜、办公桌椅、文件柜、电话、微波炉、门把、扶手、诊室读片灯）和部分医疗设施的卫生保洁，不含重要医疗设备 。</w:t>
      </w:r>
    </w:p>
    <w:p w14:paraId="69364E1F">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（8）各类标识标牌、消防栓、宣传栏 。</w:t>
      </w:r>
    </w:p>
    <w:p w14:paraId="635FE655">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（9）医疗废物的收集、规范运输、登记管理、暂存处的清洗消毒，空输液瓶回收至指定地点（输液瓶不得出售）。</w:t>
      </w:r>
    </w:p>
    <w:p w14:paraId="71143A5F">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（10）垃圾池的清洗，绿化带的卫生、保洁 。</w:t>
      </w:r>
    </w:p>
    <w:p w14:paraId="30103324">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（11）特殊情况的卫生保洁任务。</w:t>
      </w:r>
    </w:p>
    <w:p w14:paraId="7886C3D1">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（12）所有天花、顶灯高处物品的高处除尘保洁 。</w:t>
      </w:r>
    </w:p>
    <w:p w14:paraId="65131DAA">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 xml:space="preserve">（13）医院所有灯具、玻璃、不锈钢、墙面、风口的除尘保洁。 </w:t>
      </w:r>
    </w:p>
    <w:p w14:paraId="2965DC99">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（14）医院所有楼顶的垃圾清理，及时清除排水口垃圾，确保排水通畅。</w:t>
      </w:r>
    </w:p>
    <w:p w14:paraId="43CCAB41">
      <w:pPr>
        <w:pStyle w:val="247"/>
        <w:topLinePunct/>
        <w:spacing w:line="360" w:lineRule="auto"/>
        <w:ind w:firstLine="480" w:firstLineChars="200"/>
        <w:jc w:val="both"/>
        <w:rPr>
          <w:rFonts w:ascii="宋体" w:hAnsi="宋体" w:eastAsia="宋体" w:cs="宋体"/>
          <w:kern w:val="2"/>
          <w:highlight w:val="yellow"/>
        </w:rPr>
      </w:pPr>
      <w:r>
        <w:rPr>
          <w:rFonts w:hint="eastAsia" w:ascii="宋体" w:hAnsi="宋体" w:eastAsia="宋体" w:cs="宋体"/>
          <w:kern w:val="2"/>
        </w:rPr>
        <w:t>2、保洁服务标准：</w:t>
      </w:r>
    </w:p>
    <w:p w14:paraId="1DD2B601">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（1）院内公共区域道路地面干净无杂物、无积水 ，无明显污迹、油渍；明沟、暗井内无杂物、无异味；各种标示标牌表面干净无积尘、无水印；</w:t>
      </w:r>
    </w:p>
    <w:p w14:paraId="379D1297">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（2）绿化带及水池绿地内无杂物，花台表面干净无污渍 ，水池内水质清澈，池内无漂浮物，池壁无青苔污垢，水池无异味。</w:t>
      </w:r>
    </w:p>
    <w:p w14:paraId="1FDEF69C">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（3）大厅、楼内、公共通道地面干净、无污渍，有光泽，保持地面材质原貌；门框、窗框、窗台、金属件表面光亮、无灰尘、无污渍；门窗玻璃干净无尘，透光性好，无明显印迹。金属件表面干净 ，无污渍，有金属光泽；门把手干净、无印迹、定时消毒；天花板干净，无污渍、无蛛网；灯具干净无积尘，中央空调风口干净，无污渍，进出口地垫摆放整齐。</w:t>
      </w:r>
    </w:p>
    <w:p w14:paraId="47A78AA6">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（4）会议室 、接待室地面、墙面干净，无灰尘、污渍；天花板、出风口目视无灰尘、污渍。</w:t>
      </w:r>
    </w:p>
    <w:p w14:paraId="017EE331">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（5）桌椅干净 ，物品摆放整齐、有序。</w:t>
      </w:r>
    </w:p>
    <w:p w14:paraId="7BDE7CF4">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（6）电梯及电梯厅、电梯轿厢四壁光洁明亮 ，操作面板无污渍、无灰尘、无印迹，地面干净，空气清新、无异味；电梯凹槽内无垃圾无杂物，按钮表面干净无印迹。</w:t>
      </w:r>
    </w:p>
    <w:p w14:paraId="216C98A6">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（7）医护人员办公室、会议室、院内公共区域、诊室、病房、治疗室、公共过道、卫生间楼梯间、电梯等候厅地面、墙面光亮、无尘；无烟蒂纸屑；垃圾桶及痰盂每日清洗保持整洁。</w:t>
      </w:r>
    </w:p>
    <w:p w14:paraId="5E28EEFF">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（8） 办公用品、办公家具 （含桌、椅、凳、床、柜、架、电视机、医用治疗车）无尘。</w:t>
      </w:r>
    </w:p>
    <w:p w14:paraId="63658C8B">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（9）宣传栏、指示牌、广告牌、幕墙玻璃每月至少清洁一次，做到无尘垢。</w:t>
      </w:r>
    </w:p>
    <w:p w14:paraId="49CD9D84">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（10）窗框、窗台、纱窗、空调口、灯具、病房内设备干净明亮、无尘、无污迹。</w:t>
      </w:r>
    </w:p>
    <w:p w14:paraId="7020B5CE">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（11）分诊台、护士站台、候诊椅洁净无尘 ，候诊室及一切陈列设施无灰尘、病房床单元（床、床头柜 、陪伴椅、衣柜）无尘、无污渍、洗手池无污垢、镜面光亮、便池无污，做到一床一巾，病人出院或死亡后应 及时对床位进行消毒处理。</w:t>
      </w:r>
    </w:p>
    <w:p w14:paraId="31EB8C69">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（12）更衣间、洗漱间、开水房、晾衣间、洗澡间地面无水、墙面干净光亮，无异味、无杂物。</w:t>
      </w:r>
    </w:p>
    <w:p w14:paraId="34765344">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（13）各类墩布、拖把有明显使用标记并有文字提示，各类用品、用具分类摆放，整齐有序 。</w:t>
      </w:r>
    </w:p>
    <w:p w14:paraId="3A65173E">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（14）对医院所有PVC橡胶地板制定相应的维护保养月度计划和年度计划。</w:t>
      </w:r>
    </w:p>
    <w:p w14:paraId="5339808F">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（15）保洁服务人员配置合理工具及防护用品。</w:t>
      </w:r>
    </w:p>
    <w:p w14:paraId="6005E263">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（16）中标人须提供保洁服务所需的机器设备、药剂消耗品，并负责管理与保养。</w:t>
      </w:r>
    </w:p>
    <w:p w14:paraId="5CCAD424">
      <w:pPr>
        <w:pStyle w:val="247"/>
        <w:topLinePunct/>
        <w:spacing w:line="360" w:lineRule="auto"/>
        <w:ind w:firstLine="562" w:firstLineChars="200"/>
        <w:jc w:val="both"/>
        <w:rPr>
          <w:rFonts w:ascii="宋体" w:hAnsi="宋体" w:eastAsia="宋体" w:cs="宋体"/>
          <w:b/>
          <w:bCs/>
          <w:kern w:val="2"/>
        </w:rPr>
      </w:pPr>
      <w:r>
        <w:rPr>
          <w:rFonts w:hint="eastAsia" w:ascii="宋体" w:hAnsi="宋体" w:eastAsia="宋体" w:cs="宋体"/>
          <w:b/>
          <w:bCs/>
          <w:color w:val="FF0000"/>
          <w:kern w:val="2"/>
          <w:sz w:val="28"/>
          <w:szCs w:val="28"/>
        </w:rPr>
        <w:t>（四）集中运送与驻守工勤要求</w:t>
      </w:r>
    </w:p>
    <w:p w14:paraId="6C3963A9">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1、服务内容及要求</w:t>
      </w:r>
    </w:p>
    <w:p w14:paraId="70B12A86">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（1）接送病人到各科室做检查 ，如放射科、超声波、内镜科、核磁共振、心电图、脑电图、CT、检验室；接送病人到各科室做治疗，如理疗、针灸、介入；接送病人到各科室会诊。</w:t>
      </w:r>
    </w:p>
    <w:p w14:paraId="57B958AE">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（2）各类标本的运送（应由接收标本的科室签名确认）。常规标本运送：上午每1小时一次 ，下午每1小时一次；急查标本、血液分析及急配血标本随叫随送。</w:t>
      </w:r>
    </w:p>
    <w:p w14:paraId="7C8BEABE">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（3）规范收集、严格查对、详细记录标本，不得随地乱放，出现问题及时上报病区护士长和主管部门，不得擅自处理。</w:t>
      </w:r>
    </w:p>
    <w:p w14:paraId="1EB96B91">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（4）负责各科室所需物品（办公用品及医疗耗材、外用药品）的领取运送工作。运输服务质量要求：24小时随叫随到，安全、规范、及时、无误、可查、清洁。</w:t>
      </w:r>
    </w:p>
    <w:p w14:paraId="4A606CEC">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2、服务标准</w:t>
      </w:r>
    </w:p>
    <w:p w14:paraId="703F6C01">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（1）中央调度服务</w:t>
      </w:r>
    </w:p>
    <w:p w14:paraId="4C1F4D23">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①采购人负责提供中央运送所有工具，运送工具存放于各科室。（领用工具由中标供应商保管，医院负责维修）</w:t>
      </w:r>
    </w:p>
    <w:p w14:paraId="67DF0B68">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 xml:space="preserve">②中标供应商应设立中央调度中心，相关人员配置对讲机。运送人力资源的调度安排合理，十分钟之内到达指定地点。 </w:t>
      </w:r>
    </w:p>
    <w:p w14:paraId="72C590DC">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③中标供应商需对中央运送的数据进行汇总和统计，能随时提供相应的数据，给采购人的决策进行支持。</w:t>
      </w:r>
    </w:p>
    <w:p w14:paraId="20534055">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（2）物品运送服务</w:t>
      </w:r>
    </w:p>
    <w:p w14:paraId="34D7D2D3">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①将物品运送工作尽可能预先计划 ，减少随机性。</w:t>
      </w:r>
    </w:p>
    <w:p w14:paraId="56BFA93D">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②按照设计的时间、线路运送常规标本、单据、处方物品。</w:t>
      </w:r>
    </w:p>
    <w:p w14:paraId="11CC7908">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③加强运送工作的核对措施，杜绝任何形式的失误，贵重物品应保证安全。及时完成医护人员临时交办的工作。</w:t>
      </w:r>
    </w:p>
    <w:p w14:paraId="6C4BE2A6">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（3）患者运送服务</w:t>
      </w:r>
    </w:p>
    <w:p w14:paraId="3642E3BB">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① 服务人员中央运送应统一调配指挥，避免员工忙闲不均 ，避免造成其他的负面影响。当紧急突发事件发生时，应以最快速度调集大量人力赶赴现场进行支援 。</w:t>
      </w:r>
    </w:p>
    <w:p w14:paraId="3F27464A">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②根据患者病情需要，尽可能运用平车、轮椅运送工具接送患者，以提高患者的满意度。</w:t>
      </w:r>
    </w:p>
    <w:p w14:paraId="60C0580D">
      <w:pPr>
        <w:pStyle w:val="247"/>
        <w:topLinePunct/>
        <w:spacing w:line="360" w:lineRule="auto"/>
        <w:ind w:firstLine="480" w:firstLineChars="200"/>
        <w:jc w:val="both"/>
        <w:rPr>
          <w:rFonts w:ascii="宋体" w:hAnsi="宋体" w:eastAsia="宋体" w:cs="宋体"/>
          <w:b/>
          <w:bCs/>
          <w:spacing w:val="-13"/>
        </w:rPr>
      </w:pPr>
      <w:r>
        <w:rPr>
          <w:rFonts w:hint="eastAsia" w:ascii="宋体" w:hAnsi="宋体" w:eastAsia="宋体" w:cs="宋体"/>
          <w:kern w:val="2"/>
        </w:rPr>
        <w:t>③掌握不同患者运送的技巧和注意事项，观察患者的情况，保证患者运送途中的安全。</w:t>
      </w:r>
    </w:p>
    <w:p w14:paraId="4DFEDC63">
      <w:pPr>
        <w:pStyle w:val="231"/>
        <w:spacing w:after="0"/>
        <w:ind w:left="0" w:leftChars="0" w:firstLine="562" w:firstLineChars="200"/>
        <w:jc w:val="both"/>
        <w:rPr>
          <w:rFonts w:ascii="宋体" w:hAnsi="宋体" w:cs="宋体"/>
          <w:b/>
          <w:bCs/>
          <w:color w:val="FF0000"/>
          <w:sz w:val="28"/>
          <w:szCs w:val="28"/>
        </w:rPr>
      </w:pPr>
      <w:r>
        <w:rPr>
          <w:rFonts w:hint="eastAsia" w:ascii="宋体" w:hAnsi="宋体" w:cs="宋体"/>
          <w:b/>
          <w:bCs/>
          <w:color w:val="FF0000"/>
          <w:sz w:val="28"/>
          <w:szCs w:val="28"/>
        </w:rPr>
        <w:t>（五）工程维护（水电消防）维修服务标准</w:t>
      </w:r>
    </w:p>
    <w:p w14:paraId="4559B0DC">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1、主要职责24小时值班，负责全院水、电、气值班及应急工作，负责全院零星维修工作，负责配电房、水泵房、发电机房、气体机房、强、弱电室（间）等所有设备机房的巡视及高压配电值班工作。完成常规院内绿化养护工作。</w:t>
      </w:r>
    </w:p>
    <w:p w14:paraId="1CE2BB2B">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2、建立维修保养标准，水电工每天对所负责范围的各项设施进行巡查，发现问题及时处理，并做好维修记录，以便留存备查。</w:t>
      </w:r>
    </w:p>
    <w:p w14:paraId="413332E5">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3、水电工修理科室水电时，要填写修理用料明细单，并尽量做到修旧利废，节约使用。</w:t>
      </w:r>
    </w:p>
    <w:p w14:paraId="64343F99">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4、接到指令及时到达现场，小问题立即处理，大问题报告上级并提出处理意见，主要部位或紧急情况立即组织人员进行抢修，修理完毕后由修理科室在维修单签字认可后，交财务科做科室支出。</w:t>
      </w:r>
    </w:p>
    <w:p w14:paraId="4378CA91">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5、医院内水、电、氧气、电梯，锁具，建筑物，家具等均为公共财产，不得人为损坏，否则报告保卫科酌情处理。</w:t>
      </w:r>
    </w:p>
    <w:p w14:paraId="0BFFEB6E">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6、医院内原有安装的电源插座、保险丝、开关、灯具、水管道、阀门、龙头等，未经后勤部门同意，不得擅自拆装、移位、变更。如需改动，需经水电负责人员技术上认可，报医院相关领导批准方可改动。</w:t>
      </w:r>
    </w:p>
    <w:p w14:paraId="73F78AC3">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7、医院行政部门或科室在房屋结构上要改动、分隔、装修等需要上报后勤库，递交院务会书面批准后方可实施。批准实施的，应遵循下述原则：</w:t>
      </w:r>
    </w:p>
    <w:p w14:paraId="7A9356B1">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（1）确因原建筑物结构、布局不合理，影响正常使用。</w:t>
      </w:r>
    </w:p>
    <w:p w14:paraId="0171CE3F">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（2）不影响水、电、气、消防等系统。</w:t>
      </w:r>
    </w:p>
    <w:p w14:paraId="060209CD">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（3）不影响建筑主体结构、外观、承重等方面。</w:t>
      </w:r>
    </w:p>
    <w:p w14:paraId="173EB8D2">
      <w:pPr>
        <w:pStyle w:val="247"/>
        <w:topLinePunct/>
        <w:spacing w:line="360" w:lineRule="auto"/>
        <w:ind w:firstLine="480" w:firstLineChars="200"/>
        <w:jc w:val="both"/>
        <w:rPr>
          <w:rFonts w:ascii="宋体" w:hAnsi="宋体" w:eastAsia="宋体" w:cs="宋体"/>
          <w:kern w:val="2"/>
        </w:rPr>
      </w:pPr>
      <w:r>
        <w:rPr>
          <w:rFonts w:hint="eastAsia" w:ascii="宋体" w:hAnsi="宋体" w:eastAsia="宋体" w:cs="宋体"/>
          <w:kern w:val="2"/>
        </w:rPr>
        <w:t>（4） 各部门、科室未经正规渠道批准，自行购置、安装的各类设施、设备出现故障，均不予以修理。</w:t>
      </w:r>
    </w:p>
    <w:p w14:paraId="738EB33E">
      <w:pPr>
        <w:ind w:firstLine="554" w:firstLineChars="200"/>
        <w:outlineLvl w:val="1"/>
        <w:rPr>
          <w:rFonts w:ascii="宋体" w:hAnsi="宋体" w:cs="宋体"/>
          <w:b/>
          <w:bCs/>
          <w:spacing w:val="-2"/>
          <w:sz w:val="28"/>
          <w:szCs w:val="28"/>
        </w:rPr>
      </w:pPr>
      <w:bookmarkStart w:id="73" w:name="_Toc24059"/>
      <w:r>
        <w:rPr>
          <w:rFonts w:hint="eastAsia" w:ascii="宋体" w:hAnsi="宋体" w:cs="宋体"/>
          <w:b/>
          <w:bCs/>
          <w:spacing w:val="-2"/>
          <w:sz w:val="28"/>
          <w:szCs w:val="28"/>
        </w:rPr>
        <w:t>六、考核标准</w:t>
      </w:r>
      <w:bookmarkEnd w:id="73"/>
    </w:p>
    <w:tbl>
      <w:tblPr>
        <w:tblStyle w:val="156"/>
        <w:tblW w:w="877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3"/>
        <w:gridCol w:w="1237"/>
        <w:gridCol w:w="6379"/>
      </w:tblGrid>
      <w:tr w14:paraId="72528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163" w:type="dxa"/>
          </w:tcPr>
          <w:p w14:paraId="447F5087">
            <w:pPr>
              <w:jc w:val="cente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项目</w:t>
            </w:r>
          </w:p>
        </w:tc>
        <w:tc>
          <w:tcPr>
            <w:tcW w:w="1237" w:type="dxa"/>
          </w:tcPr>
          <w:p w14:paraId="63412062">
            <w:pPr>
              <w:jc w:val="cente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评分大项</w:t>
            </w:r>
          </w:p>
        </w:tc>
        <w:tc>
          <w:tcPr>
            <w:tcW w:w="6379" w:type="dxa"/>
          </w:tcPr>
          <w:p w14:paraId="54844B88">
            <w:pPr>
              <w:jc w:val="cente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评核内容及标准</w:t>
            </w:r>
          </w:p>
        </w:tc>
      </w:tr>
      <w:tr w14:paraId="2BB45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63" w:type="dxa"/>
            <w:vMerge w:val="restart"/>
            <w:tcBorders>
              <w:bottom w:val="nil"/>
            </w:tcBorders>
          </w:tcPr>
          <w:p w14:paraId="63A6B7D9">
            <w:pPr>
              <w:rPr>
                <w:rFonts w:ascii="宋体" w:hAnsi="宋体" w:cs="宋体"/>
                <w:color w:val="000000"/>
                <w:sz w:val="22"/>
                <w:szCs w:val="20"/>
                <w:shd w:val="clear" w:color="auto" w:fill="FFFFFF"/>
              </w:rPr>
            </w:pPr>
          </w:p>
          <w:p w14:paraId="0DE7DF12">
            <w:pPr>
              <w:rPr>
                <w:rFonts w:ascii="宋体" w:hAnsi="宋体" w:cs="宋体"/>
                <w:color w:val="000000"/>
                <w:sz w:val="22"/>
                <w:szCs w:val="20"/>
                <w:shd w:val="clear" w:color="auto" w:fill="FFFFFF"/>
              </w:rPr>
            </w:pPr>
          </w:p>
          <w:p w14:paraId="136563D9">
            <w:pPr>
              <w:rPr>
                <w:rFonts w:ascii="宋体" w:hAnsi="宋体" w:cs="宋体"/>
                <w:color w:val="000000"/>
                <w:sz w:val="22"/>
                <w:szCs w:val="20"/>
                <w:shd w:val="clear" w:color="auto" w:fill="FFFFFF"/>
              </w:rPr>
            </w:pPr>
          </w:p>
          <w:p w14:paraId="33B4390D">
            <w:pPr>
              <w:rPr>
                <w:rFonts w:ascii="宋体" w:hAnsi="宋体" w:cs="宋体"/>
                <w:color w:val="000000"/>
                <w:sz w:val="22"/>
                <w:szCs w:val="20"/>
                <w:shd w:val="clear" w:color="auto" w:fill="FFFFFF"/>
              </w:rPr>
            </w:pPr>
          </w:p>
          <w:p w14:paraId="23FD6A90">
            <w:pPr>
              <w:rPr>
                <w:rFonts w:ascii="宋体" w:hAnsi="宋体" w:cs="宋体"/>
                <w:color w:val="000000"/>
                <w:sz w:val="22"/>
                <w:szCs w:val="20"/>
                <w:shd w:val="clear" w:color="auto" w:fill="FFFFFF"/>
              </w:rPr>
            </w:pPr>
          </w:p>
          <w:p w14:paraId="4BEDCAB0">
            <w:pPr>
              <w:rPr>
                <w:rFonts w:ascii="宋体" w:hAnsi="宋体" w:cs="宋体"/>
                <w:color w:val="000000"/>
                <w:sz w:val="22"/>
                <w:szCs w:val="20"/>
                <w:shd w:val="clear" w:color="auto" w:fill="FFFFFF"/>
              </w:rPr>
            </w:pPr>
          </w:p>
          <w:p w14:paraId="7C859A80">
            <w:pPr>
              <w:rPr>
                <w:rFonts w:ascii="宋体" w:hAnsi="宋体" w:cs="宋体"/>
                <w:color w:val="000000"/>
                <w:sz w:val="22"/>
                <w:szCs w:val="20"/>
                <w:shd w:val="clear" w:color="auto" w:fill="FFFFFF"/>
              </w:rPr>
            </w:pPr>
          </w:p>
          <w:p w14:paraId="2C85152A">
            <w:pPr>
              <w:rPr>
                <w:rFonts w:ascii="宋体" w:hAnsi="宋体" w:cs="宋体"/>
                <w:color w:val="000000"/>
                <w:sz w:val="22"/>
                <w:szCs w:val="20"/>
                <w:shd w:val="clear" w:color="auto" w:fill="FFFFFF"/>
              </w:rPr>
            </w:pPr>
          </w:p>
          <w:p w14:paraId="0889BF0F">
            <w:pPr>
              <w:rPr>
                <w:rFonts w:ascii="宋体" w:hAnsi="宋体" w:cs="宋体"/>
                <w:color w:val="000000"/>
                <w:sz w:val="22"/>
                <w:szCs w:val="20"/>
                <w:shd w:val="clear" w:color="auto" w:fill="FFFFFF"/>
              </w:rPr>
            </w:pPr>
          </w:p>
          <w:p w14:paraId="27734AEA">
            <w:pPr>
              <w:rPr>
                <w:rFonts w:ascii="宋体" w:hAnsi="宋体" w:cs="宋体"/>
                <w:color w:val="000000"/>
                <w:sz w:val="22"/>
                <w:szCs w:val="20"/>
                <w:shd w:val="clear" w:color="auto" w:fill="FFFFFF"/>
              </w:rPr>
            </w:pPr>
          </w:p>
          <w:p w14:paraId="0D0DA9C9">
            <w:pPr>
              <w:rPr>
                <w:rFonts w:ascii="宋体" w:hAnsi="宋体" w:cs="宋体"/>
                <w:color w:val="000000"/>
                <w:sz w:val="22"/>
                <w:szCs w:val="20"/>
                <w:shd w:val="clear" w:color="auto" w:fill="FFFFFF"/>
              </w:rPr>
            </w:pPr>
          </w:p>
          <w:p w14:paraId="60372F07">
            <w:pPr>
              <w:rPr>
                <w:rFonts w:ascii="宋体" w:hAnsi="宋体" w:cs="宋体"/>
                <w:color w:val="000000"/>
                <w:sz w:val="22"/>
                <w:szCs w:val="20"/>
                <w:shd w:val="clear" w:color="auto" w:fill="FFFFFF"/>
              </w:rPr>
            </w:pPr>
          </w:p>
          <w:p w14:paraId="4014036C">
            <w:pPr>
              <w:rPr>
                <w:rFonts w:ascii="宋体" w:hAnsi="宋体" w:cs="宋体"/>
                <w:color w:val="000000"/>
                <w:sz w:val="22"/>
                <w:szCs w:val="20"/>
                <w:shd w:val="clear" w:color="auto" w:fill="FFFFFF"/>
              </w:rPr>
            </w:pPr>
          </w:p>
          <w:p w14:paraId="5AD424F1">
            <w:pPr>
              <w:rPr>
                <w:rFonts w:ascii="宋体" w:hAnsi="宋体" w:cs="宋体"/>
                <w:color w:val="000000"/>
                <w:sz w:val="22"/>
                <w:szCs w:val="20"/>
                <w:shd w:val="clear" w:color="auto" w:fill="FFFFFF"/>
              </w:rPr>
            </w:pPr>
          </w:p>
          <w:p w14:paraId="179A222C">
            <w:pPr>
              <w:rPr>
                <w:rFonts w:ascii="宋体" w:hAnsi="宋体" w:cs="宋体"/>
                <w:color w:val="000000"/>
                <w:sz w:val="22"/>
                <w:szCs w:val="20"/>
                <w:shd w:val="clear" w:color="auto" w:fill="FFFFFF"/>
              </w:rPr>
            </w:pPr>
          </w:p>
          <w:p w14:paraId="0F1DA5B0">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综合管理</w:t>
            </w:r>
          </w:p>
          <w:p w14:paraId="7F6A1126">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（45）分</w:t>
            </w:r>
          </w:p>
        </w:tc>
        <w:tc>
          <w:tcPr>
            <w:tcW w:w="1237" w:type="dxa"/>
            <w:vMerge w:val="restart"/>
            <w:tcBorders>
              <w:bottom w:val="nil"/>
            </w:tcBorders>
          </w:tcPr>
          <w:p w14:paraId="2320D232">
            <w:pPr>
              <w:rPr>
                <w:rFonts w:ascii="宋体" w:hAnsi="宋体" w:cs="宋体"/>
                <w:color w:val="000000"/>
                <w:sz w:val="22"/>
                <w:szCs w:val="20"/>
                <w:shd w:val="clear" w:color="auto" w:fill="FFFFFF"/>
              </w:rPr>
            </w:pPr>
          </w:p>
          <w:p w14:paraId="3D2C9783">
            <w:pPr>
              <w:rPr>
                <w:rFonts w:ascii="宋体" w:hAnsi="宋体" w:cs="宋体"/>
                <w:color w:val="000000"/>
                <w:sz w:val="22"/>
                <w:szCs w:val="20"/>
                <w:shd w:val="clear" w:color="auto" w:fill="FFFFFF"/>
              </w:rPr>
            </w:pPr>
          </w:p>
          <w:p w14:paraId="72BD6423">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人员配置及稳定 性(5 分）</w:t>
            </w:r>
          </w:p>
        </w:tc>
        <w:tc>
          <w:tcPr>
            <w:tcW w:w="6379" w:type="dxa"/>
          </w:tcPr>
          <w:p w14:paraId="66B793F7">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派驻现场的人员是否符合合同约定、谈判文件要求。未经报 备批准随意变更派驻人员的，一次扣 1 分。</w:t>
            </w:r>
          </w:p>
        </w:tc>
      </w:tr>
      <w:tr w14:paraId="48260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163" w:type="dxa"/>
            <w:vMerge w:val="continue"/>
            <w:tcBorders>
              <w:top w:val="nil"/>
              <w:bottom w:val="nil"/>
            </w:tcBorders>
          </w:tcPr>
          <w:p w14:paraId="3FA010BA">
            <w:pPr>
              <w:rPr>
                <w:rFonts w:ascii="宋体" w:hAnsi="宋体" w:cs="宋体"/>
                <w:color w:val="000000"/>
                <w:sz w:val="22"/>
                <w:szCs w:val="20"/>
                <w:shd w:val="clear" w:color="auto" w:fill="FFFFFF"/>
              </w:rPr>
            </w:pPr>
          </w:p>
        </w:tc>
        <w:tc>
          <w:tcPr>
            <w:tcW w:w="1237" w:type="dxa"/>
            <w:vMerge w:val="continue"/>
            <w:tcBorders>
              <w:top w:val="nil"/>
              <w:bottom w:val="nil"/>
            </w:tcBorders>
          </w:tcPr>
          <w:p w14:paraId="7AAE7EEB">
            <w:pPr>
              <w:rPr>
                <w:rFonts w:ascii="宋体" w:hAnsi="宋体" w:cs="宋体"/>
                <w:color w:val="000000"/>
                <w:sz w:val="22"/>
                <w:szCs w:val="20"/>
                <w:shd w:val="clear" w:color="auto" w:fill="FFFFFF"/>
              </w:rPr>
            </w:pPr>
          </w:p>
        </w:tc>
        <w:tc>
          <w:tcPr>
            <w:tcW w:w="6379" w:type="dxa"/>
          </w:tcPr>
          <w:p w14:paraId="1347E4ED">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坚守岗位，执行岗位责任制，按时交接班，严禁脱岗， 缺岗，发现脱岗、缺岗一次，扣 1分。</w:t>
            </w:r>
          </w:p>
        </w:tc>
      </w:tr>
      <w:tr w14:paraId="43FC3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63" w:type="dxa"/>
            <w:vMerge w:val="continue"/>
            <w:tcBorders>
              <w:top w:val="nil"/>
              <w:bottom w:val="nil"/>
            </w:tcBorders>
          </w:tcPr>
          <w:p w14:paraId="76C4D600">
            <w:pPr>
              <w:rPr>
                <w:rFonts w:ascii="宋体" w:hAnsi="宋体" w:cs="宋体"/>
                <w:color w:val="000000"/>
                <w:sz w:val="22"/>
                <w:szCs w:val="20"/>
                <w:shd w:val="clear" w:color="auto" w:fill="FFFFFF"/>
              </w:rPr>
            </w:pPr>
          </w:p>
        </w:tc>
        <w:tc>
          <w:tcPr>
            <w:tcW w:w="1237" w:type="dxa"/>
            <w:vMerge w:val="continue"/>
            <w:tcBorders>
              <w:top w:val="nil"/>
            </w:tcBorders>
          </w:tcPr>
          <w:p w14:paraId="7852C88A">
            <w:pPr>
              <w:rPr>
                <w:rFonts w:ascii="宋体" w:hAnsi="宋体" w:cs="宋体"/>
                <w:color w:val="000000"/>
                <w:sz w:val="22"/>
                <w:szCs w:val="20"/>
                <w:shd w:val="clear" w:color="auto" w:fill="FFFFFF"/>
              </w:rPr>
            </w:pPr>
          </w:p>
        </w:tc>
        <w:tc>
          <w:tcPr>
            <w:tcW w:w="6379" w:type="dxa"/>
          </w:tcPr>
          <w:p w14:paraId="1AE450CB">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须持证上岗的岗位人员均持证上岗，发现无证上岗的，一次扣1分。</w:t>
            </w:r>
          </w:p>
        </w:tc>
      </w:tr>
      <w:tr w14:paraId="0FAC8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1163" w:type="dxa"/>
            <w:vMerge w:val="continue"/>
            <w:tcBorders>
              <w:top w:val="nil"/>
              <w:bottom w:val="nil"/>
            </w:tcBorders>
          </w:tcPr>
          <w:p w14:paraId="3EAC185C">
            <w:pPr>
              <w:rPr>
                <w:rFonts w:ascii="宋体" w:hAnsi="宋体" w:cs="宋体"/>
                <w:color w:val="000000"/>
                <w:sz w:val="22"/>
                <w:szCs w:val="20"/>
                <w:shd w:val="clear" w:color="auto" w:fill="FFFFFF"/>
              </w:rPr>
            </w:pPr>
          </w:p>
        </w:tc>
        <w:tc>
          <w:tcPr>
            <w:tcW w:w="1237" w:type="dxa"/>
          </w:tcPr>
          <w:p w14:paraId="6B2F562A">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社会保险缴纳情 况（10 分）</w:t>
            </w:r>
          </w:p>
        </w:tc>
        <w:tc>
          <w:tcPr>
            <w:tcW w:w="6379" w:type="dxa"/>
          </w:tcPr>
          <w:p w14:paraId="120973CF">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是否按月及时全员全额缴纳社会保险，每发现一人未及时缴纳的，一次扣 1 分。</w:t>
            </w:r>
          </w:p>
        </w:tc>
      </w:tr>
      <w:tr w14:paraId="47270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163" w:type="dxa"/>
            <w:vMerge w:val="continue"/>
            <w:tcBorders>
              <w:top w:val="nil"/>
              <w:bottom w:val="nil"/>
            </w:tcBorders>
          </w:tcPr>
          <w:p w14:paraId="695FCDDC">
            <w:pPr>
              <w:rPr>
                <w:rFonts w:ascii="宋体" w:hAnsi="宋体" w:cs="宋体"/>
                <w:color w:val="000000"/>
                <w:sz w:val="22"/>
                <w:szCs w:val="20"/>
                <w:shd w:val="clear" w:color="auto" w:fill="FFFFFF"/>
              </w:rPr>
            </w:pPr>
          </w:p>
        </w:tc>
        <w:tc>
          <w:tcPr>
            <w:tcW w:w="1237" w:type="dxa"/>
          </w:tcPr>
          <w:p w14:paraId="1B696417">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工资发放情况 （10 分）</w:t>
            </w:r>
          </w:p>
        </w:tc>
        <w:tc>
          <w:tcPr>
            <w:tcW w:w="6379" w:type="dxa"/>
          </w:tcPr>
          <w:p w14:paraId="353180CD">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是否按月及时发放工资，每发现一人未及时发放的，一次扣 1 分。</w:t>
            </w:r>
          </w:p>
        </w:tc>
      </w:tr>
      <w:tr w14:paraId="228E7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163" w:type="dxa"/>
            <w:vMerge w:val="continue"/>
            <w:tcBorders>
              <w:top w:val="nil"/>
              <w:bottom w:val="nil"/>
            </w:tcBorders>
          </w:tcPr>
          <w:p w14:paraId="3F1EEDF2">
            <w:pPr>
              <w:rPr>
                <w:rFonts w:ascii="宋体" w:hAnsi="宋体" w:cs="宋体"/>
                <w:color w:val="000000"/>
                <w:sz w:val="22"/>
                <w:szCs w:val="20"/>
                <w:shd w:val="clear" w:color="auto" w:fill="FFFFFF"/>
              </w:rPr>
            </w:pPr>
          </w:p>
        </w:tc>
        <w:tc>
          <w:tcPr>
            <w:tcW w:w="1237" w:type="dxa"/>
          </w:tcPr>
          <w:p w14:paraId="209B279F">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计划与执行（5 分）</w:t>
            </w:r>
          </w:p>
        </w:tc>
        <w:tc>
          <w:tcPr>
            <w:tcW w:w="6379" w:type="dxa"/>
          </w:tcPr>
          <w:p w14:paraId="7B4BB5E8">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各项工作按照服务方案、月度工作计划执行，每季度制定培训计划，并落实到位。</w:t>
            </w:r>
          </w:p>
        </w:tc>
      </w:tr>
      <w:tr w14:paraId="1AA9E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163" w:type="dxa"/>
            <w:vMerge w:val="continue"/>
            <w:tcBorders>
              <w:top w:val="nil"/>
              <w:bottom w:val="nil"/>
            </w:tcBorders>
          </w:tcPr>
          <w:p w14:paraId="4ED7CC7C">
            <w:pPr>
              <w:rPr>
                <w:rFonts w:ascii="宋体" w:hAnsi="宋体" w:cs="宋体"/>
                <w:color w:val="000000"/>
                <w:sz w:val="22"/>
                <w:szCs w:val="20"/>
                <w:shd w:val="clear" w:color="auto" w:fill="FFFFFF"/>
              </w:rPr>
            </w:pPr>
          </w:p>
        </w:tc>
        <w:tc>
          <w:tcPr>
            <w:tcW w:w="1237" w:type="dxa"/>
          </w:tcPr>
          <w:p w14:paraId="47CC9899">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设备设施配置（3 分）</w:t>
            </w:r>
          </w:p>
        </w:tc>
        <w:tc>
          <w:tcPr>
            <w:tcW w:w="6379" w:type="dxa"/>
          </w:tcPr>
          <w:p w14:paraId="0F070079">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按照响应文件条款配备并使用到位，设备设施不到位的，发现一次扣 1 分。</w:t>
            </w:r>
          </w:p>
        </w:tc>
      </w:tr>
      <w:tr w14:paraId="54BAB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6" w:hRule="atLeast"/>
        </w:trPr>
        <w:tc>
          <w:tcPr>
            <w:tcW w:w="1163" w:type="dxa"/>
            <w:vMerge w:val="continue"/>
            <w:tcBorders>
              <w:top w:val="nil"/>
              <w:bottom w:val="nil"/>
            </w:tcBorders>
          </w:tcPr>
          <w:p w14:paraId="02539F25">
            <w:pPr>
              <w:rPr>
                <w:rFonts w:ascii="宋体" w:hAnsi="宋体" w:cs="宋体"/>
                <w:color w:val="000000"/>
                <w:sz w:val="22"/>
                <w:szCs w:val="20"/>
                <w:shd w:val="clear" w:color="auto" w:fill="FFFFFF"/>
              </w:rPr>
            </w:pPr>
          </w:p>
        </w:tc>
        <w:tc>
          <w:tcPr>
            <w:tcW w:w="1237" w:type="dxa"/>
          </w:tcPr>
          <w:p w14:paraId="5D0CFB8C">
            <w:pPr>
              <w:rPr>
                <w:rFonts w:ascii="宋体" w:hAnsi="宋体" w:cs="宋体"/>
                <w:color w:val="000000"/>
                <w:sz w:val="22"/>
                <w:szCs w:val="20"/>
                <w:shd w:val="clear" w:color="auto" w:fill="FFFFFF"/>
              </w:rPr>
            </w:pPr>
          </w:p>
          <w:p w14:paraId="561B1109">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重要参观接待和  会议服务（5 分）</w:t>
            </w:r>
          </w:p>
        </w:tc>
        <w:tc>
          <w:tcPr>
            <w:tcW w:w="6379" w:type="dxa"/>
          </w:tcPr>
          <w:p w14:paraId="67697BAE">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重要参观接待的准备和服务工作，会议的会前准备（卫生保 洁、桌椅摆放、横幅摆放等）、会中服务和会后保洁工作，保证工作有序进行，不得出现重大失误（包括人员，环境和 设备等方面）。出现失误造成不良影响的，一次扣 1 分。</w:t>
            </w:r>
          </w:p>
        </w:tc>
      </w:tr>
      <w:tr w14:paraId="7E86A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163" w:type="dxa"/>
            <w:vMerge w:val="continue"/>
            <w:tcBorders>
              <w:top w:val="nil"/>
              <w:bottom w:val="nil"/>
            </w:tcBorders>
          </w:tcPr>
          <w:p w14:paraId="19A1E6A0">
            <w:pPr>
              <w:rPr>
                <w:rFonts w:ascii="宋体" w:hAnsi="宋体" w:cs="宋体"/>
                <w:color w:val="000000"/>
                <w:sz w:val="22"/>
                <w:szCs w:val="20"/>
                <w:shd w:val="clear" w:color="auto" w:fill="FFFFFF"/>
              </w:rPr>
            </w:pPr>
          </w:p>
        </w:tc>
        <w:tc>
          <w:tcPr>
            <w:tcW w:w="1237" w:type="dxa"/>
            <w:vMerge w:val="restart"/>
            <w:tcBorders>
              <w:bottom w:val="nil"/>
            </w:tcBorders>
          </w:tcPr>
          <w:p w14:paraId="731946C3">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着装仪容仪表(2 分）</w:t>
            </w:r>
          </w:p>
        </w:tc>
        <w:tc>
          <w:tcPr>
            <w:tcW w:w="6379" w:type="dxa"/>
          </w:tcPr>
          <w:p w14:paraId="2BBCA159">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保安、保洁均按规定穿着制服，佩戴齐全、正确，装备佩戴 正确。</w:t>
            </w:r>
          </w:p>
        </w:tc>
      </w:tr>
      <w:tr w14:paraId="1EFA7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163" w:type="dxa"/>
            <w:vMerge w:val="continue"/>
            <w:tcBorders>
              <w:top w:val="nil"/>
              <w:bottom w:val="nil"/>
            </w:tcBorders>
          </w:tcPr>
          <w:p w14:paraId="0F9743B2">
            <w:pPr>
              <w:rPr>
                <w:rFonts w:ascii="宋体" w:hAnsi="宋体" w:cs="宋体"/>
                <w:color w:val="000000"/>
                <w:sz w:val="22"/>
                <w:szCs w:val="20"/>
                <w:shd w:val="clear" w:color="auto" w:fill="FFFFFF"/>
              </w:rPr>
            </w:pPr>
          </w:p>
        </w:tc>
        <w:tc>
          <w:tcPr>
            <w:tcW w:w="1237" w:type="dxa"/>
            <w:vMerge w:val="continue"/>
            <w:tcBorders>
              <w:top w:val="nil"/>
            </w:tcBorders>
          </w:tcPr>
          <w:p w14:paraId="390CB172">
            <w:pPr>
              <w:rPr>
                <w:rFonts w:ascii="宋体" w:hAnsi="宋体" w:cs="宋体"/>
                <w:color w:val="000000"/>
                <w:sz w:val="22"/>
                <w:szCs w:val="20"/>
                <w:shd w:val="clear" w:color="auto" w:fill="FFFFFF"/>
              </w:rPr>
            </w:pPr>
          </w:p>
        </w:tc>
        <w:tc>
          <w:tcPr>
            <w:tcW w:w="6379" w:type="dxa"/>
          </w:tcPr>
          <w:p w14:paraId="37003B94">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保持良好的形象和精神状态，注意仪容仪表，礼貌礼节。</w:t>
            </w:r>
          </w:p>
        </w:tc>
      </w:tr>
      <w:tr w14:paraId="5E691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163" w:type="dxa"/>
            <w:vMerge w:val="continue"/>
            <w:tcBorders>
              <w:top w:val="nil"/>
              <w:bottom w:val="nil"/>
            </w:tcBorders>
          </w:tcPr>
          <w:p w14:paraId="0A851FE6">
            <w:pPr>
              <w:rPr>
                <w:rFonts w:ascii="宋体" w:hAnsi="宋体" w:cs="宋体"/>
                <w:color w:val="000000"/>
                <w:sz w:val="22"/>
                <w:szCs w:val="20"/>
                <w:shd w:val="clear" w:color="auto" w:fill="FFFFFF"/>
              </w:rPr>
            </w:pPr>
          </w:p>
        </w:tc>
        <w:tc>
          <w:tcPr>
            <w:tcW w:w="1237" w:type="dxa"/>
          </w:tcPr>
          <w:p w14:paraId="30255F0C">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紧急情况处理(3 分）</w:t>
            </w:r>
          </w:p>
        </w:tc>
        <w:tc>
          <w:tcPr>
            <w:tcW w:w="6379" w:type="dxa"/>
          </w:tcPr>
          <w:p w14:paraId="24BC1472">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针对不同突发情况，有应急处理预案，有应急演练，遇到突发情况及时处理并报告采购方。</w:t>
            </w:r>
          </w:p>
        </w:tc>
      </w:tr>
      <w:tr w14:paraId="052A0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163" w:type="dxa"/>
            <w:vMerge w:val="continue"/>
            <w:tcBorders>
              <w:top w:val="nil"/>
            </w:tcBorders>
          </w:tcPr>
          <w:p w14:paraId="01D7F935">
            <w:pPr>
              <w:rPr>
                <w:rFonts w:ascii="宋体" w:hAnsi="宋体" w:cs="宋体"/>
                <w:color w:val="000000"/>
                <w:sz w:val="22"/>
                <w:szCs w:val="20"/>
                <w:shd w:val="clear" w:color="auto" w:fill="FFFFFF"/>
              </w:rPr>
            </w:pPr>
          </w:p>
        </w:tc>
        <w:tc>
          <w:tcPr>
            <w:tcW w:w="1237" w:type="dxa"/>
          </w:tcPr>
          <w:p w14:paraId="5580196E">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工作环境</w:t>
            </w:r>
          </w:p>
          <w:p w14:paraId="2E5C6D20">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(2 分）</w:t>
            </w:r>
          </w:p>
        </w:tc>
        <w:tc>
          <w:tcPr>
            <w:tcW w:w="6379" w:type="dxa"/>
          </w:tcPr>
          <w:p w14:paraId="2AD33F24">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整洁卫生，桌面、抽屉物品摆放有序、无杂物， 地面整洁、墙面洁净、公共设施设备无明显灰尘、污垢。</w:t>
            </w:r>
          </w:p>
        </w:tc>
      </w:tr>
      <w:tr w14:paraId="7B983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163" w:type="dxa"/>
            <w:vMerge w:val="restart"/>
            <w:tcBorders>
              <w:bottom w:val="nil"/>
            </w:tcBorders>
          </w:tcPr>
          <w:p w14:paraId="39112C53">
            <w:pPr>
              <w:rPr>
                <w:rFonts w:ascii="宋体" w:hAnsi="宋体" w:cs="宋体"/>
                <w:color w:val="000000"/>
                <w:sz w:val="22"/>
                <w:szCs w:val="20"/>
                <w:shd w:val="clear" w:color="auto" w:fill="FFFFFF"/>
              </w:rPr>
            </w:pPr>
          </w:p>
          <w:p w14:paraId="62DE3DBF">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防范秩序维 护（18 分）</w:t>
            </w:r>
          </w:p>
        </w:tc>
        <w:tc>
          <w:tcPr>
            <w:tcW w:w="1237" w:type="dxa"/>
            <w:vMerge w:val="restart"/>
            <w:tcBorders>
              <w:bottom w:val="nil"/>
            </w:tcBorders>
          </w:tcPr>
          <w:p w14:paraId="02F3C12D">
            <w:pPr>
              <w:rPr>
                <w:rFonts w:ascii="宋体" w:hAnsi="宋体" w:cs="宋体"/>
                <w:color w:val="000000"/>
                <w:sz w:val="22"/>
                <w:szCs w:val="20"/>
                <w:shd w:val="clear" w:color="auto" w:fill="FFFFFF"/>
              </w:rPr>
            </w:pPr>
          </w:p>
          <w:p w14:paraId="5C468754">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车辆与访客管理(6 分）</w:t>
            </w:r>
          </w:p>
        </w:tc>
        <w:tc>
          <w:tcPr>
            <w:tcW w:w="6379" w:type="dxa"/>
          </w:tcPr>
          <w:p w14:paraId="18C29343">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进出车辆管理有序，做到出入登记，管理严格，交接清楚，停车场车辆排放整齐、有序。</w:t>
            </w:r>
          </w:p>
        </w:tc>
      </w:tr>
      <w:tr w14:paraId="276F0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163" w:type="dxa"/>
            <w:vMerge w:val="continue"/>
            <w:tcBorders>
              <w:top w:val="nil"/>
            </w:tcBorders>
          </w:tcPr>
          <w:p w14:paraId="18AF01BF">
            <w:pPr>
              <w:rPr>
                <w:rFonts w:ascii="宋体" w:hAnsi="宋体" w:cs="宋体"/>
                <w:color w:val="000000"/>
                <w:sz w:val="22"/>
                <w:szCs w:val="20"/>
                <w:shd w:val="clear" w:color="auto" w:fill="FFFFFF"/>
              </w:rPr>
            </w:pPr>
          </w:p>
        </w:tc>
        <w:tc>
          <w:tcPr>
            <w:tcW w:w="1237" w:type="dxa"/>
            <w:vMerge w:val="continue"/>
            <w:tcBorders>
              <w:top w:val="nil"/>
            </w:tcBorders>
          </w:tcPr>
          <w:p w14:paraId="0CE2A992">
            <w:pPr>
              <w:rPr>
                <w:rFonts w:ascii="宋体" w:hAnsi="宋体" w:cs="宋体"/>
                <w:color w:val="000000"/>
                <w:sz w:val="22"/>
                <w:szCs w:val="20"/>
                <w:shd w:val="clear" w:color="auto" w:fill="FFFFFF"/>
              </w:rPr>
            </w:pPr>
          </w:p>
        </w:tc>
        <w:tc>
          <w:tcPr>
            <w:tcW w:w="6379" w:type="dxa"/>
          </w:tcPr>
          <w:p w14:paraId="6E900DD1">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严格执行访客管理，对外来人员按规定进行登记、核实后准许进入办公区域。</w:t>
            </w:r>
          </w:p>
        </w:tc>
      </w:tr>
      <w:tr w14:paraId="15C9E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6" w:hRule="atLeast"/>
        </w:trPr>
        <w:tc>
          <w:tcPr>
            <w:tcW w:w="1163" w:type="dxa"/>
            <w:vMerge w:val="restart"/>
            <w:tcBorders>
              <w:bottom w:val="nil"/>
            </w:tcBorders>
          </w:tcPr>
          <w:p w14:paraId="6A1C01F5">
            <w:pPr>
              <w:rPr>
                <w:rFonts w:ascii="宋体" w:hAnsi="宋体" w:cs="宋体"/>
                <w:color w:val="000000"/>
                <w:sz w:val="22"/>
                <w:szCs w:val="20"/>
                <w:shd w:val="clear" w:color="auto" w:fill="FFFFFF"/>
              </w:rPr>
            </w:pPr>
          </w:p>
        </w:tc>
        <w:tc>
          <w:tcPr>
            <w:tcW w:w="1237" w:type="dxa"/>
          </w:tcPr>
          <w:p w14:paraId="4F8401FF">
            <w:pPr>
              <w:rPr>
                <w:rFonts w:ascii="宋体" w:hAnsi="宋体" w:cs="宋体"/>
                <w:color w:val="000000"/>
                <w:sz w:val="22"/>
                <w:szCs w:val="20"/>
                <w:shd w:val="clear" w:color="auto" w:fill="FFFFFF"/>
              </w:rPr>
            </w:pPr>
          </w:p>
          <w:p w14:paraId="164D865B">
            <w:pPr>
              <w:rPr>
                <w:rFonts w:ascii="宋体" w:hAnsi="宋体" w:cs="宋体"/>
                <w:color w:val="000000"/>
                <w:sz w:val="22"/>
                <w:szCs w:val="20"/>
                <w:shd w:val="clear" w:color="auto" w:fill="FFFFFF"/>
              </w:rPr>
            </w:pPr>
            <w:bookmarkStart w:id="74" w:name="bookmark23"/>
            <w:bookmarkEnd w:id="74"/>
            <w:bookmarkStart w:id="75" w:name="bookmark24"/>
            <w:bookmarkEnd w:id="75"/>
            <w:r>
              <w:rPr>
                <w:rFonts w:hint="eastAsia" w:ascii="宋体" w:hAnsi="宋体" w:cs="宋体"/>
                <w:color w:val="000000"/>
                <w:sz w:val="22"/>
                <w:szCs w:val="20"/>
                <w:shd w:val="clear" w:color="auto" w:fill="FFFFFF"/>
              </w:rPr>
              <w:t>应急处理技能(6 分）</w:t>
            </w:r>
          </w:p>
        </w:tc>
        <w:tc>
          <w:tcPr>
            <w:tcW w:w="6379" w:type="dxa"/>
          </w:tcPr>
          <w:p w14:paraId="3728080F">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工作人员熟悉消防基本知识及紧急救助电话， 掌握消防设施 设备的使用方法并能及时处理突发情况。制订有突发火灾的 应急方案， 在明显处设立消防疏散示意图，照明设施、引路 标志完好， 紧急疏散通道畅通无阻。</w:t>
            </w:r>
          </w:p>
        </w:tc>
      </w:tr>
      <w:tr w14:paraId="20B05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1" w:hRule="atLeast"/>
        </w:trPr>
        <w:tc>
          <w:tcPr>
            <w:tcW w:w="1163" w:type="dxa"/>
            <w:vMerge w:val="continue"/>
            <w:tcBorders>
              <w:top w:val="nil"/>
            </w:tcBorders>
          </w:tcPr>
          <w:p w14:paraId="7DBDB24C">
            <w:pPr>
              <w:rPr>
                <w:rFonts w:ascii="宋体" w:hAnsi="宋体" w:cs="宋体"/>
                <w:color w:val="000000"/>
                <w:sz w:val="22"/>
                <w:szCs w:val="20"/>
                <w:shd w:val="clear" w:color="auto" w:fill="FFFFFF"/>
              </w:rPr>
            </w:pPr>
          </w:p>
        </w:tc>
        <w:tc>
          <w:tcPr>
            <w:tcW w:w="1237" w:type="dxa"/>
          </w:tcPr>
          <w:p w14:paraId="716E13CE">
            <w:pPr>
              <w:rPr>
                <w:rFonts w:ascii="宋体" w:hAnsi="宋体" w:cs="宋体"/>
                <w:color w:val="000000"/>
                <w:sz w:val="22"/>
                <w:szCs w:val="20"/>
                <w:shd w:val="clear" w:color="auto" w:fill="FFFFFF"/>
              </w:rPr>
            </w:pPr>
          </w:p>
          <w:p w14:paraId="26FAABF7">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执勤与巡视管理 (6 分）</w:t>
            </w:r>
          </w:p>
        </w:tc>
        <w:tc>
          <w:tcPr>
            <w:tcW w:w="6379" w:type="dxa"/>
          </w:tcPr>
          <w:p w14:paraId="79A3EC62">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落实 24 小时周边巡逻制度，定时定点巡回巡逻，不存在漏点、迟到现象，巡逻认真，能及时发现问题并妥善解决处理。对巡逻检查监督；做好定期巡查、检验区域不安全因素 及异常现象及时处理。</w:t>
            </w:r>
          </w:p>
        </w:tc>
      </w:tr>
      <w:tr w14:paraId="366D0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63" w:type="dxa"/>
            <w:vMerge w:val="restart"/>
            <w:tcBorders>
              <w:bottom w:val="nil"/>
            </w:tcBorders>
          </w:tcPr>
          <w:p w14:paraId="28924D46">
            <w:pPr>
              <w:rPr>
                <w:rFonts w:ascii="宋体" w:hAnsi="宋体" w:cs="宋体"/>
                <w:color w:val="000000"/>
                <w:sz w:val="22"/>
                <w:szCs w:val="20"/>
                <w:shd w:val="clear" w:color="auto" w:fill="FFFFFF"/>
              </w:rPr>
            </w:pPr>
          </w:p>
          <w:p w14:paraId="0FAB4E66">
            <w:pPr>
              <w:rPr>
                <w:rFonts w:ascii="宋体" w:hAnsi="宋体" w:cs="宋体"/>
                <w:color w:val="000000"/>
                <w:sz w:val="22"/>
                <w:szCs w:val="20"/>
                <w:shd w:val="clear" w:color="auto" w:fill="FFFFFF"/>
              </w:rPr>
            </w:pPr>
          </w:p>
          <w:p w14:paraId="39EB5BF9">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环境管理</w:t>
            </w:r>
          </w:p>
          <w:p w14:paraId="15342CC9">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（12 分）</w:t>
            </w:r>
          </w:p>
        </w:tc>
        <w:tc>
          <w:tcPr>
            <w:tcW w:w="1237" w:type="dxa"/>
            <w:vMerge w:val="restart"/>
            <w:tcBorders>
              <w:bottom w:val="nil"/>
            </w:tcBorders>
          </w:tcPr>
          <w:p w14:paraId="0DA6DFE2">
            <w:pPr>
              <w:rPr>
                <w:rFonts w:ascii="宋体" w:hAnsi="宋体" w:cs="宋体"/>
                <w:color w:val="000000"/>
                <w:sz w:val="22"/>
                <w:szCs w:val="20"/>
                <w:shd w:val="clear" w:color="auto" w:fill="FFFFFF"/>
              </w:rPr>
            </w:pPr>
          </w:p>
          <w:p w14:paraId="55E791CE">
            <w:pPr>
              <w:rPr>
                <w:rFonts w:ascii="宋体" w:hAnsi="宋体" w:cs="宋体"/>
                <w:color w:val="000000"/>
                <w:sz w:val="22"/>
                <w:szCs w:val="20"/>
                <w:shd w:val="clear" w:color="auto" w:fill="FFFFFF"/>
              </w:rPr>
            </w:pPr>
          </w:p>
          <w:p w14:paraId="2FD16839">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环境卫生</w:t>
            </w:r>
          </w:p>
          <w:p w14:paraId="0F982B20">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(12 分）</w:t>
            </w:r>
          </w:p>
        </w:tc>
        <w:tc>
          <w:tcPr>
            <w:tcW w:w="6379" w:type="dxa"/>
          </w:tcPr>
          <w:p w14:paraId="5BBB2AFD">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公共区域保持清洁，无烟头，纸屑，无占用和堆放杂物现象，无乱贴、乱画，楼梯、扶栏、玻璃窗等保持洁净。</w:t>
            </w:r>
          </w:p>
        </w:tc>
      </w:tr>
      <w:tr w14:paraId="6812D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1163" w:type="dxa"/>
            <w:vMerge w:val="continue"/>
            <w:tcBorders>
              <w:top w:val="nil"/>
            </w:tcBorders>
          </w:tcPr>
          <w:p w14:paraId="0FAD867C">
            <w:pPr>
              <w:rPr>
                <w:rFonts w:ascii="宋体" w:hAnsi="宋体" w:cs="宋体"/>
                <w:color w:val="000000"/>
                <w:sz w:val="22"/>
                <w:szCs w:val="20"/>
                <w:shd w:val="clear" w:color="auto" w:fill="FFFFFF"/>
              </w:rPr>
            </w:pPr>
          </w:p>
        </w:tc>
        <w:tc>
          <w:tcPr>
            <w:tcW w:w="1237" w:type="dxa"/>
            <w:vMerge w:val="continue"/>
            <w:tcBorders>
              <w:top w:val="nil"/>
            </w:tcBorders>
          </w:tcPr>
          <w:p w14:paraId="0F0D04FD">
            <w:pPr>
              <w:rPr>
                <w:rFonts w:ascii="宋体" w:hAnsi="宋体" w:cs="宋体"/>
                <w:color w:val="000000"/>
                <w:sz w:val="22"/>
                <w:szCs w:val="20"/>
                <w:shd w:val="clear" w:color="auto" w:fill="FFFFFF"/>
              </w:rPr>
            </w:pPr>
          </w:p>
        </w:tc>
        <w:tc>
          <w:tcPr>
            <w:tcW w:w="6379" w:type="dxa"/>
          </w:tcPr>
          <w:p w14:paraId="01850B65">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垃圾及时清运，无跑冒滴漏，垃圾桶定期清洁消毒；卫生间 清洁，无污染，无水渍，无异味。垃圾未及时清洁处理，发现一次扣 1 分。</w:t>
            </w:r>
          </w:p>
        </w:tc>
      </w:tr>
      <w:tr w14:paraId="226EB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163" w:type="dxa"/>
            <w:vMerge w:val="restart"/>
            <w:tcBorders>
              <w:bottom w:val="nil"/>
            </w:tcBorders>
          </w:tcPr>
          <w:p w14:paraId="3701335A">
            <w:pPr>
              <w:rPr>
                <w:rFonts w:ascii="宋体" w:hAnsi="宋体" w:cs="宋体"/>
                <w:color w:val="000000"/>
                <w:sz w:val="22"/>
                <w:szCs w:val="20"/>
                <w:shd w:val="clear" w:color="auto" w:fill="FFFFFF"/>
              </w:rPr>
            </w:pPr>
          </w:p>
          <w:p w14:paraId="441BE5C7">
            <w:pPr>
              <w:rPr>
                <w:rFonts w:ascii="宋体" w:hAnsi="宋体" w:cs="宋体"/>
                <w:color w:val="000000"/>
                <w:sz w:val="22"/>
                <w:szCs w:val="20"/>
                <w:shd w:val="clear" w:color="auto" w:fill="FFFFFF"/>
              </w:rPr>
            </w:pPr>
          </w:p>
          <w:p w14:paraId="7D4AD436">
            <w:pPr>
              <w:rPr>
                <w:rFonts w:ascii="宋体" w:hAnsi="宋体" w:cs="宋体"/>
                <w:color w:val="000000"/>
                <w:sz w:val="22"/>
                <w:szCs w:val="20"/>
                <w:shd w:val="clear" w:color="auto" w:fill="FFFFFF"/>
              </w:rPr>
            </w:pPr>
          </w:p>
          <w:p w14:paraId="3ABC226A">
            <w:pPr>
              <w:rPr>
                <w:rFonts w:ascii="宋体" w:hAnsi="宋体" w:cs="宋体"/>
                <w:color w:val="000000"/>
                <w:sz w:val="22"/>
                <w:szCs w:val="20"/>
                <w:shd w:val="clear" w:color="auto" w:fill="FFFFFF"/>
              </w:rPr>
            </w:pPr>
          </w:p>
          <w:p w14:paraId="5E810DA7">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工程管理</w:t>
            </w:r>
          </w:p>
          <w:p w14:paraId="17F5B502">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（25 分）</w:t>
            </w:r>
          </w:p>
        </w:tc>
        <w:tc>
          <w:tcPr>
            <w:tcW w:w="1237" w:type="dxa"/>
          </w:tcPr>
          <w:p w14:paraId="482DD270">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消防系统是否正 常</w:t>
            </w:r>
          </w:p>
          <w:p w14:paraId="20EEDBD2">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(10 分）</w:t>
            </w:r>
          </w:p>
        </w:tc>
        <w:tc>
          <w:tcPr>
            <w:tcW w:w="6379" w:type="dxa"/>
          </w:tcPr>
          <w:p w14:paraId="0673C58F">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消防系统设备完好无损，可随时正常启用。发生设备损坏、老旧的，要及时报备。</w:t>
            </w:r>
          </w:p>
        </w:tc>
      </w:tr>
      <w:tr w14:paraId="485F9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163" w:type="dxa"/>
            <w:vMerge w:val="continue"/>
            <w:tcBorders>
              <w:top w:val="nil"/>
              <w:bottom w:val="nil"/>
            </w:tcBorders>
          </w:tcPr>
          <w:p w14:paraId="0B6C7506">
            <w:pPr>
              <w:rPr>
                <w:rFonts w:ascii="宋体" w:hAnsi="宋体" w:cs="宋体"/>
                <w:color w:val="000000"/>
                <w:sz w:val="22"/>
                <w:szCs w:val="20"/>
                <w:shd w:val="clear" w:color="auto" w:fill="FFFFFF"/>
              </w:rPr>
            </w:pPr>
          </w:p>
        </w:tc>
        <w:tc>
          <w:tcPr>
            <w:tcW w:w="1237" w:type="dxa"/>
          </w:tcPr>
          <w:p w14:paraId="5AD21EA0">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其他设备是否正 常</w:t>
            </w:r>
          </w:p>
          <w:p w14:paraId="49EDC9D9">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(6 分）</w:t>
            </w:r>
          </w:p>
        </w:tc>
        <w:tc>
          <w:tcPr>
            <w:tcW w:w="6379" w:type="dxa"/>
          </w:tcPr>
          <w:p w14:paraId="42656EFC">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每周汇报设备检查情况，存在设备无法正常使用的，应及时报备维修。</w:t>
            </w:r>
          </w:p>
        </w:tc>
      </w:tr>
      <w:tr w14:paraId="7A4EE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163" w:type="dxa"/>
            <w:vMerge w:val="continue"/>
            <w:tcBorders>
              <w:top w:val="nil"/>
              <w:bottom w:val="nil"/>
            </w:tcBorders>
          </w:tcPr>
          <w:p w14:paraId="16E2406A">
            <w:pPr>
              <w:rPr>
                <w:rFonts w:ascii="宋体" w:hAnsi="宋体" w:cs="宋体"/>
                <w:color w:val="000000"/>
                <w:sz w:val="22"/>
                <w:szCs w:val="20"/>
                <w:shd w:val="clear" w:color="auto" w:fill="FFFFFF"/>
              </w:rPr>
            </w:pPr>
          </w:p>
        </w:tc>
        <w:tc>
          <w:tcPr>
            <w:tcW w:w="1237" w:type="dxa"/>
          </w:tcPr>
          <w:p w14:paraId="00CDDC95">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及时维保</w:t>
            </w:r>
          </w:p>
          <w:p w14:paraId="7493EAD6">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（4 分）</w:t>
            </w:r>
          </w:p>
        </w:tc>
        <w:tc>
          <w:tcPr>
            <w:tcW w:w="6379" w:type="dxa"/>
          </w:tcPr>
          <w:p w14:paraId="69A5021C">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有维修保养计划并严格执行，执行不到位的，一次扣 0.5 分。</w:t>
            </w:r>
          </w:p>
        </w:tc>
      </w:tr>
      <w:tr w14:paraId="41191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163" w:type="dxa"/>
            <w:vMerge w:val="continue"/>
            <w:tcBorders>
              <w:top w:val="nil"/>
            </w:tcBorders>
          </w:tcPr>
          <w:p w14:paraId="3FFFF9DC">
            <w:pPr>
              <w:rPr>
                <w:rFonts w:ascii="宋体" w:hAnsi="宋体" w:cs="宋体"/>
                <w:color w:val="000000"/>
                <w:sz w:val="22"/>
                <w:szCs w:val="20"/>
                <w:shd w:val="clear" w:color="auto" w:fill="FFFFFF"/>
              </w:rPr>
            </w:pPr>
          </w:p>
        </w:tc>
        <w:tc>
          <w:tcPr>
            <w:tcW w:w="1237" w:type="dxa"/>
          </w:tcPr>
          <w:p w14:paraId="5A213C45">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设备事件紧急处 理</w:t>
            </w:r>
          </w:p>
          <w:p w14:paraId="48120A9E">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（5分）</w:t>
            </w:r>
          </w:p>
        </w:tc>
        <w:tc>
          <w:tcPr>
            <w:tcW w:w="6379" w:type="dxa"/>
          </w:tcPr>
          <w:p w14:paraId="772E2A49">
            <w:pPr>
              <w:rPr>
                <w:rFonts w:ascii="宋体" w:hAnsi="宋体" w:cs="宋体"/>
                <w:color w:val="000000"/>
                <w:sz w:val="22"/>
                <w:szCs w:val="20"/>
                <w:shd w:val="clear" w:color="auto" w:fill="FFFFFF"/>
              </w:rPr>
            </w:pPr>
            <w:r>
              <w:rPr>
                <w:rFonts w:hint="eastAsia" w:ascii="宋体" w:hAnsi="宋体" w:cs="宋体"/>
                <w:color w:val="000000"/>
                <w:sz w:val="22"/>
                <w:szCs w:val="20"/>
                <w:shd w:val="clear" w:color="auto" w:fill="FFFFFF"/>
              </w:rPr>
              <w:t>突发事件跑水、跳电等处理是否及时到位，处理不到位的， 一次扣 0.5 分。</w:t>
            </w:r>
          </w:p>
        </w:tc>
      </w:tr>
    </w:tbl>
    <w:p w14:paraId="7AE1C13C">
      <w:pPr>
        <w:rPr>
          <w:rFonts w:ascii="宋体" w:hAnsi="宋体" w:cs="宋体"/>
          <w:color w:val="000000"/>
          <w:sz w:val="22"/>
          <w:szCs w:val="20"/>
          <w:shd w:val="clear" w:color="auto" w:fill="FFFFFF"/>
        </w:rPr>
      </w:pPr>
    </w:p>
    <w:p w14:paraId="41BF14A1">
      <w:pPr>
        <w:pStyle w:val="252"/>
        <w:spacing w:line="480" w:lineRule="exact"/>
        <w:ind w:left="630"/>
        <w:rPr>
          <w:rFonts w:ascii="宋体" w:hAnsi="宋体" w:cs="宋体"/>
          <w:color w:val="0000FF"/>
          <w:spacing w:val="-7"/>
          <w:sz w:val="24"/>
          <w:szCs w:val="21"/>
        </w:rPr>
      </w:pPr>
      <w:r>
        <w:rPr>
          <w:rFonts w:hint="eastAsia" w:ascii="宋体" w:hAnsi="宋体" w:cs="宋体"/>
          <w:color w:val="0000FF"/>
          <w:spacing w:val="-7"/>
          <w:sz w:val="24"/>
          <w:szCs w:val="21"/>
        </w:rPr>
        <w:t>按季度考核支付合同款，每季度经采购人考核合格后支付一次，中标人凭税</w:t>
      </w:r>
    </w:p>
    <w:p w14:paraId="5A874BD0">
      <w:pPr>
        <w:pStyle w:val="252"/>
        <w:spacing w:line="480" w:lineRule="exact"/>
        <w:rPr>
          <w:rFonts w:ascii="宋体" w:hAnsi="宋体" w:cs="宋体"/>
          <w:color w:val="0000FF"/>
          <w:spacing w:val="-7"/>
          <w:sz w:val="24"/>
          <w:szCs w:val="21"/>
        </w:rPr>
      </w:pPr>
      <w:r>
        <w:rPr>
          <w:rFonts w:hint="eastAsia" w:ascii="宋体" w:hAnsi="宋体" w:cs="宋体"/>
          <w:color w:val="0000FF"/>
          <w:spacing w:val="-7"/>
          <w:sz w:val="24"/>
          <w:szCs w:val="21"/>
        </w:rPr>
        <w:t>务部门正式发票进行结算。</w:t>
      </w:r>
    </w:p>
    <w:p w14:paraId="137456E9">
      <w:pPr>
        <w:pStyle w:val="252"/>
        <w:spacing w:line="480" w:lineRule="exact"/>
        <w:ind w:firstLine="226" w:firstLineChars="100"/>
        <w:rPr>
          <w:rFonts w:ascii="宋体" w:hAnsi="宋体" w:cs="宋体"/>
          <w:color w:val="0000FF"/>
          <w:spacing w:val="-7"/>
          <w:sz w:val="24"/>
          <w:szCs w:val="21"/>
        </w:rPr>
      </w:pPr>
      <w:r>
        <w:rPr>
          <w:rFonts w:hint="eastAsia" w:ascii="宋体" w:hAnsi="宋体" w:cs="宋体"/>
          <w:color w:val="0000FF"/>
          <w:spacing w:val="-7"/>
          <w:sz w:val="24"/>
          <w:szCs w:val="21"/>
        </w:rPr>
        <w:t xml:space="preserve">   中标人当季考核支付金额=(考核实际得分)/100*（中标金额/4）；</w:t>
      </w:r>
    </w:p>
    <w:p w14:paraId="7136F525">
      <w:pPr>
        <w:pStyle w:val="252"/>
        <w:spacing w:line="480" w:lineRule="exact"/>
        <w:ind w:firstLine="226" w:firstLineChars="100"/>
        <w:rPr>
          <w:rFonts w:ascii="宋体" w:hAnsi="宋体" w:cs="宋体"/>
          <w:color w:val="0000FF"/>
          <w:spacing w:val="-7"/>
          <w:sz w:val="24"/>
          <w:szCs w:val="21"/>
        </w:rPr>
      </w:pPr>
      <w:r>
        <w:rPr>
          <w:rFonts w:hint="eastAsia" w:ascii="宋体" w:hAnsi="宋体" w:cs="宋体"/>
          <w:color w:val="0000FF"/>
          <w:spacing w:val="-7"/>
          <w:sz w:val="24"/>
          <w:szCs w:val="21"/>
        </w:rPr>
        <w:t>注：（1）中标金额/4：属于每个季度合同价付款金额；合同服务期内，如有增减，据实考核支付，总增量原则上不得超过本项目合同中标价的10%。</w:t>
      </w:r>
    </w:p>
    <w:p w14:paraId="646777BD">
      <w:pPr>
        <w:pStyle w:val="252"/>
        <w:spacing w:line="480" w:lineRule="exact"/>
        <w:ind w:firstLine="678" w:firstLineChars="300"/>
        <w:rPr>
          <w:rFonts w:ascii="宋体" w:hAnsi="宋体" w:cs="宋体"/>
          <w:color w:val="0000FF"/>
          <w:spacing w:val="-7"/>
          <w:sz w:val="24"/>
          <w:szCs w:val="21"/>
        </w:rPr>
      </w:pPr>
      <w:r>
        <w:rPr>
          <w:rFonts w:hint="eastAsia" w:ascii="宋体" w:hAnsi="宋体" w:cs="宋体"/>
          <w:color w:val="0000FF"/>
          <w:spacing w:val="-7"/>
          <w:sz w:val="24"/>
          <w:szCs w:val="21"/>
        </w:rPr>
        <w:t>（2）当季考核得分在90分及以上的，不予扣款，全额支付当季服务费用。</w:t>
      </w:r>
    </w:p>
    <w:p w14:paraId="70696BB1">
      <w:pPr>
        <w:autoSpaceDE w:val="0"/>
        <w:autoSpaceDN w:val="0"/>
        <w:spacing w:line="500" w:lineRule="exact"/>
        <w:ind w:left="60" w:firstLine="480"/>
        <w:rPr>
          <w:rFonts w:ascii="宋体" w:hAnsi="宋体" w:cs="宋体"/>
          <w:color w:val="0000FF"/>
          <w:spacing w:val="-7"/>
          <w:sz w:val="24"/>
        </w:rPr>
      </w:pPr>
      <w:r>
        <w:rPr>
          <w:rFonts w:hint="eastAsia" w:ascii="宋体" w:hAnsi="宋体" w:cs="宋体"/>
          <w:color w:val="0000FF"/>
          <w:spacing w:val="-7"/>
          <w:sz w:val="24"/>
          <w:szCs w:val="21"/>
        </w:rPr>
        <w:t>累计3个月或连续2个月考核&lt;80分的，则甲方有权终止合同；乙方出现安全管理问题或其他工作失误造成财产损失或不良影响的，甲方有权提出终止合同，相关经济损失由乙方全面承担。</w:t>
      </w:r>
    </w:p>
    <w:p w14:paraId="175563EF">
      <w:pPr>
        <w:autoSpaceDE w:val="0"/>
        <w:autoSpaceDN w:val="0"/>
        <w:spacing w:line="500" w:lineRule="exact"/>
        <w:ind w:left="60" w:firstLine="480"/>
        <w:rPr>
          <w:rFonts w:ascii="宋体" w:hAnsi="宋体" w:cs="宋体"/>
          <w:color w:val="0000FF"/>
          <w:spacing w:val="-7"/>
          <w:sz w:val="24"/>
        </w:rPr>
      </w:pPr>
      <w:r>
        <w:rPr>
          <w:rFonts w:hint="eastAsia" w:ascii="宋体" w:hAnsi="宋体" w:cs="宋体"/>
          <w:color w:val="0000FF"/>
          <w:spacing w:val="-7"/>
          <w:sz w:val="24"/>
          <w:szCs w:val="21"/>
        </w:rPr>
        <w:t>注：以上涉及考核扣款的，直接从当期支付的合同价款中扣除；该扣款，属于供应商因考核不达标准自愿支付的违约金。</w:t>
      </w:r>
    </w:p>
    <w:p w14:paraId="41E77A67">
      <w:pPr>
        <w:spacing w:line="420" w:lineRule="exact"/>
        <w:ind w:firstLine="452" w:firstLineChars="200"/>
        <w:rPr>
          <w:rFonts w:ascii="宋体" w:hAnsi="宋体" w:cs="宋体"/>
          <w:color w:val="0000FF"/>
          <w:spacing w:val="-7"/>
          <w:sz w:val="24"/>
        </w:rPr>
      </w:pPr>
      <w:r>
        <w:rPr>
          <w:rFonts w:hint="eastAsia" w:ascii="宋体" w:hAnsi="宋体" w:cs="宋体"/>
          <w:color w:val="0000FF"/>
          <w:spacing w:val="-7"/>
          <w:sz w:val="24"/>
          <w:szCs w:val="21"/>
        </w:rPr>
        <w:t>1、本项目实行季度考核。当季考核分值低于 80 分（不包含 80 分），采购人除按比例扣除考核违约金外，同时处以当月中标方违约金2000元，从合同价款中扣除 。如发生重大事故除解除合同外，按规定追加中标人相关法律责任和经济处罚。</w:t>
      </w:r>
    </w:p>
    <w:p w14:paraId="684F8C32">
      <w:pPr>
        <w:autoSpaceDE w:val="0"/>
        <w:autoSpaceDN w:val="0"/>
        <w:spacing w:line="420" w:lineRule="exact"/>
        <w:ind w:left="60" w:firstLine="480"/>
        <w:rPr>
          <w:rFonts w:ascii="宋体" w:hAnsi="宋体" w:cs="宋体"/>
          <w:b/>
          <w:bCs/>
          <w:spacing w:val="-2"/>
          <w:sz w:val="28"/>
          <w:szCs w:val="28"/>
        </w:rPr>
      </w:pPr>
      <w:r>
        <w:rPr>
          <w:rFonts w:hint="eastAsia" w:ascii="宋体" w:hAnsi="宋体" w:cs="宋体"/>
          <w:color w:val="0000FF"/>
          <w:spacing w:val="-7"/>
          <w:sz w:val="24"/>
          <w:szCs w:val="21"/>
        </w:rPr>
        <w:t>2、考核要点及评分标准：合同签订后，采购方在具体实施过程中结合项目服务要求完善并考核，中标方须全面服从安排。</w:t>
      </w:r>
    </w:p>
    <w:p w14:paraId="4EC23EA4">
      <w:pPr>
        <w:spacing w:line="360" w:lineRule="auto"/>
        <w:ind w:firstLine="554" w:firstLineChars="200"/>
        <w:outlineLvl w:val="1"/>
        <w:rPr>
          <w:rFonts w:ascii="宋体" w:hAnsi="宋体" w:cs="宋体"/>
          <w:b/>
          <w:bCs/>
          <w:spacing w:val="-2"/>
          <w:sz w:val="28"/>
          <w:szCs w:val="28"/>
        </w:rPr>
      </w:pPr>
      <w:bookmarkStart w:id="76" w:name="_Toc14487"/>
      <w:r>
        <w:rPr>
          <w:rFonts w:hint="eastAsia" w:ascii="宋体" w:hAnsi="宋体" w:cs="宋体"/>
          <w:b/>
          <w:bCs/>
          <w:spacing w:val="-2"/>
          <w:sz w:val="28"/>
          <w:szCs w:val="28"/>
        </w:rPr>
        <w:t>七、应对突发事件预案</w:t>
      </w:r>
      <w:bookmarkEnd w:id="76"/>
      <w:r>
        <w:rPr>
          <w:rFonts w:hint="eastAsia" w:ascii="宋体" w:hAnsi="宋体" w:cs="宋体"/>
          <w:b/>
          <w:bCs/>
          <w:spacing w:val="-2"/>
          <w:sz w:val="28"/>
          <w:szCs w:val="28"/>
        </w:rPr>
        <w:t>、环卫保洁方案、安保方案、设备设施维护方案</w:t>
      </w:r>
    </w:p>
    <w:p w14:paraId="0CEA09AD">
      <w:pPr>
        <w:spacing w:line="360" w:lineRule="auto"/>
        <w:ind w:firstLine="428" w:firstLineChars="200"/>
        <w:rPr>
          <w:rFonts w:ascii="宋体" w:hAnsi="宋体" w:cs="宋体"/>
          <w:sz w:val="24"/>
        </w:rPr>
      </w:pPr>
      <w:r>
        <w:rPr>
          <w:rFonts w:hint="eastAsia" w:ascii="宋体" w:hAnsi="宋体" w:cs="宋体"/>
          <w:spacing w:val="-13"/>
          <w:sz w:val="24"/>
        </w:rPr>
        <w:t>1</w:t>
      </w:r>
      <w:r>
        <w:rPr>
          <w:rFonts w:hint="eastAsia" w:ascii="宋体" w:hAnsi="宋体" w:cs="宋体"/>
          <w:spacing w:val="-38"/>
          <w:sz w:val="24"/>
        </w:rPr>
        <w:t xml:space="preserve"> </w:t>
      </w:r>
      <w:r>
        <w:rPr>
          <w:rFonts w:hint="eastAsia" w:ascii="宋体" w:hAnsi="宋体" w:cs="宋体"/>
          <w:spacing w:val="-13"/>
          <w:sz w:val="24"/>
        </w:rPr>
        <w:t>、确定突发事件处理预案，包括：治安防范、消防、火灾、爆炸、安全疏导以及卫生消毒、清洁环保、洪涝、雨雪、停电、停水、突发人流量剧增及其他突发性事件。</w:t>
      </w:r>
    </w:p>
    <w:p w14:paraId="0981DB23">
      <w:pPr>
        <w:pStyle w:val="235"/>
        <w:spacing w:line="480" w:lineRule="exact"/>
        <w:ind w:firstLine="452" w:firstLineChars="200"/>
        <w:rPr>
          <w:rFonts w:ascii="宋体" w:hAnsi="宋体" w:cs="宋体"/>
          <w:spacing w:val="-2"/>
          <w:sz w:val="24"/>
        </w:rPr>
      </w:pPr>
      <w:r>
        <w:rPr>
          <w:rFonts w:hint="eastAsia" w:ascii="宋体" w:hAnsi="宋体" w:cs="宋体"/>
          <w:spacing w:val="-7"/>
          <w:sz w:val="24"/>
        </w:rPr>
        <w:t>2</w:t>
      </w:r>
      <w:r>
        <w:rPr>
          <w:rFonts w:hint="eastAsia" w:ascii="宋体" w:hAnsi="宋体" w:cs="宋体"/>
          <w:spacing w:val="-28"/>
          <w:sz w:val="24"/>
        </w:rPr>
        <w:t xml:space="preserve"> </w:t>
      </w:r>
      <w:r>
        <w:rPr>
          <w:rFonts w:hint="eastAsia" w:ascii="宋体" w:hAnsi="宋体" w:cs="宋体"/>
          <w:spacing w:val="-7"/>
          <w:sz w:val="24"/>
        </w:rPr>
        <w:t>、有紧急事件应急预案，确保每位工作人员熟练掌握有关技能，对</w:t>
      </w:r>
      <w:r>
        <w:rPr>
          <w:rFonts w:hint="eastAsia" w:ascii="宋体" w:hAnsi="宋体" w:cs="宋体"/>
          <w:spacing w:val="-11"/>
          <w:sz w:val="24"/>
        </w:rPr>
        <w:t>紧急事故做出快速、正确的反应，尽可能减少破坏和损失程度，</w:t>
      </w:r>
      <w:r>
        <w:rPr>
          <w:rFonts w:hint="eastAsia" w:ascii="宋体" w:hAnsi="宋体" w:cs="宋体"/>
          <w:spacing w:val="21"/>
          <w:sz w:val="24"/>
        </w:rPr>
        <w:t xml:space="preserve"> </w:t>
      </w:r>
      <w:r>
        <w:rPr>
          <w:rFonts w:hint="eastAsia" w:ascii="宋体" w:hAnsi="宋体" w:cs="宋体"/>
          <w:spacing w:val="-11"/>
          <w:sz w:val="24"/>
        </w:rPr>
        <w:t>妥善处理</w:t>
      </w:r>
      <w:r>
        <w:rPr>
          <w:rFonts w:hint="eastAsia" w:ascii="宋体" w:hAnsi="宋体" w:cs="宋体"/>
          <w:spacing w:val="-2"/>
          <w:sz w:val="24"/>
        </w:rPr>
        <w:t>各类应急突发事件。</w:t>
      </w:r>
    </w:p>
    <w:p w14:paraId="55C08469">
      <w:pPr>
        <w:pStyle w:val="235"/>
        <w:spacing w:line="480" w:lineRule="exact"/>
        <w:ind w:firstLine="452" w:firstLineChars="200"/>
        <w:rPr>
          <w:rFonts w:ascii="宋体" w:hAnsi="宋体" w:cs="宋体"/>
          <w:spacing w:val="-7"/>
          <w:sz w:val="24"/>
        </w:rPr>
      </w:pPr>
      <w:r>
        <w:rPr>
          <w:rFonts w:hint="eastAsia" w:ascii="宋体" w:hAnsi="宋体" w:cs="宋体"/>
          <w:spacing w:val="-7"/>
          <w:sz w:val="24"/>
        </w:rPr>
        <w:t>3、投标人根据本项目特点，提供环卫保洁方案、安保方案、设备设施维护方案，主要包括管理思路、工作计划及具体实施措施；管理深度和广度创新做法；全方位贴心服务举措。</w:t>
      </w:r>
    </w:p>
    <w:p w14:paraId="55A4A0E9">
      <w:pPr>
        <w:spacing w:line="360" w:lineRule="auto"/>
        <w:ind w:firstLine="554" w:firstLineChars="200"/>
        <w:outlineLvl w:val="1"/>
        <w:rPr>
          <w:rFonts w:ascii="宋体" w:hAnsi="宋体" w:cs="宋体"/>
          <w:b/>
          <w:bCs/>
          <w:spacing w:val="-2"/>
          <w:sz w:val="28"/>
          <w:szCs w:val="28"/>
        </w:rPr>
      </w:pPr>
      <w:bookmarkStart w:id="77" w:name="_Toc810"/>
      <w:r>
        <w:rPr>
          <w:rFonts w:hint="eastAsia" w:ascii="宋体" w:hAnsi="宋体" w:cs="宋体"/>
          <w:b/>
          <w:bCs/>
          <w:spacing w:val="-2"/>
          <w:sz w:val="28"/>
          <w:szCs w:val="28"/>
        </w:rPr>
        <w:t>八、设备（工具）、耗材清单、服装要求</w:t>
      </w:r>
      <w:bookmarkEnd w:id="77"/>
    </w:p>
    <w:p w14:paraId="27BDF2A6">
      <w:pPr>
        <w:spacing w:line="360" w:lineRule="auto"/>
        <w:ind w:firstLine="460" w:firstLineChars="200"/>
        <w:rPr>
          <w:rFonts w:ascii="宋体" w:hAnsi="宋体" w:cs="宋体"/>
          <w:sz w:val="24"/>
        </w:rPr>
      </w:pPr>
      <w:r>
        <w:rPr>
          <w:rFonts w:hint="eastAsia" w:ascii="宋体" w:hAnsi="宋体" w:cs="宋体"/>
          <w:spacing w:val="-5"/>
          <w:sz w:val="24"/>
        </w:rPr>
        <w:t>1</w:t>
      </w:r>
      <w:r>
        <w:rPr>
          <w:rFonts w:hint="eastAsia" w:ascii="宋体" w:hAnsi="宋体" w:cs="宋体"/>
          <w:spacing w:val="-39"/>
          <w:sz w:val="24"/>
        </w:rPr>
        <w:t xml:space="preserve"> </w:t>
      </w:r>
      <w:r>
        <w:rPr>
          <w:rFonts w:hint="eastAsia" w:ascii="宋体" w:hAnsi="宋体" w:cs="宋体"/>
          <w:spacing w:val="-5"/>
          <w:sz w:val="24"/>
        </w:rPr>
        <w:t>、设备及保洁工具全新或八成新以上。</w:t>
      </w:r>
    </w:p>
    <w:p w14:paraId="3D128247">
      <w:pPr>
        <w:spacing w:line="360" w:lineRule="auto"/>
        <w:ind w:firstLine="452" w:firstLineChars="200"/>
        <w:rPr>
          <w:rFonts w:ascii="宋体" w:hAnsi="宋体" w:cs="宋体"/>
          <w:sz w:val="24"/>
        </w:rPr>
      </w:pPr>
      <w:r>
        <w:rPr>
          <w:rFonts w:hint="eastAsia" w:ascii="宋体" w:hAnsi="宋体" w:cs="宋体"/>
          <w:spacing w:val="-7"/>
          <w:sz w:val="24"/>
        </w:rPr>
        <w:t>2</w:t>
      </w:r>
      <w:r>
        <w:rPr>
          <w:rFonts w:hint="eastAsia" w:ascii="宋体" w:hAnsi="宋体" w:cs="宋体"/>
          <w:spacing w:val="-23"/>
          <w:sz w:val="24"/>
        </w:rPr>
        <w:t xml:space="preserve"> </w:t>
      </w:r>
      <w:r>
        <w:rPr>
          <w:rFonts w:hint="eastAsia" w:ascii="宋体" w:hAnsi="宋体" w:cs="宋体"/>
          <w:spacing w:val="-7"/>
          <w:sz w:val="24"/>
        </w:rPr>
        <w:t>、装备耗材清单、办公设备、各种保洁专用警示</w:t>
      </w:r>
      <w:r>
        <w:rPr>
          <w:rFonts w:hint="eastAsia" w:ascii="宋体" w:hAnsi="宋体" w:cs="宋体"/>
          <w:sz w:val="24"/>
        </w:rPr>
        <w:t xml:space="preserve"> </w:t>
      </w:r>
      <w:r>
        <w:rPr>
          <w:rFonts w:hint="eastAsia" w:ascii="宋体" w:hAnsi="宋体" w:cs="宋体"/>
          <w:spacing w:val="-11"/>
          <w:sz w:val="24"/>
        </w:rPr>
        <w:t>牌等。</w:t>
      </w:r>
    </w:p>
    <w:p w14:paraId="0A1CAB92">
      <w:pPr>
        <w:spacing w:line="360" w:lineRule="auto"/>
        <w:ind w:firstLine="452" w:firstLineChars="200"/>
        <w:rPr>
          <w:rFonts w:ascii="宋体" w:hAnsi="宋体" w:cs="宋体"/>
          <w:spacing w:val="-7"/>
          <w:sz w:val="24"/>
        </w:rPr>
      </w:pPr>
      <w:r>
        <w:rPr>
          <w:rFonts w:hint="eastAsia" w:ascii="宋体" w:hAnsi="宋体" w:cs="宋体"/>
          <w:spacing w:val="-7"/>
          <w:sz w:val="24"/>
        </w:rPr>
        <w:t>3.中标人进驻前一天，必须将以上设备进入办公区，缺一不可。否则 采购人将拒绝中标人进场，所产生的责任由中标人承担。合同生效后 3 个工作日内因中标人未将上述设备完全提供导致延误的，采购人将报财政部门进行处理。</w:t>
      </w:r>
    </w:p>
    <w:p w14:paraId="08EEC859">
      <w:pPr>
        <w:pStyle w:val="148"/>
        <w:spacing w:line="360" w:lineRule="auto"/>
        <w:ind w:firstLine="562" w:firstLineChars="200"/>
        <w:outlineLvl w:val="1"/>
        <w:rPr>
          <w:rFonts w:ascii="宋体" w:hAnsi="宋体" w:cs="宋体"/>
          <w:b w:val="0"/>
          <w:sz w:val="28"/>
          <w:szCs w:val="28"/>
        </w:rPr>
      </w:pPr>
      <w:bookmarkStart w:id="78" w:name="_Toc26730"/>
      <w:r>
        <w:rPr>
          <w:rFonts w:hint="eastAsia" w:ascii="宋体" w:hAnsi="宋体" w:eastAsia="宋体" w:cs="宋体"/>
          <w:sz w:val="28"/>
          <w:szCs w:val="28"/>
        </w:rPr>
        <w:t>九、报价要求</w:t>
      </w:r>
      <w:bookmarkEnd w:id="78"/>
    </w:p>
    <w:p w14:paraId="4B88BCAC">
      <w:pPr>
        <w:spacing w:line="360" w:lineRule="auto"/>
        <w:ind w:firstLine="482" w:firstLineChars="200"/>
        <w:rPr>
          <w:rFonts w:ascii="宋体" w:hAnsi="宋体" w:cs="宋体"/>
          <w:sz w:val="24"/>
        </w:rPr>
      </w:pPr>
      <w:r>
        <w:rPr>
          <w:rStyle w:val="186"/>
          <w:rFonts w:hint="eastAsia" w:ascii="宋体" w:hAnsi="宋体" w:cs="宋体"/>
          <w:b/>
          <w:bCs/>
          <w:color w:val="000000"/>
          <w:sz w:val="24"/>
        </w:rPr>
        <w:t>1、投标报价包含：</w:t>
      </w:r>
    </w:p>
    <w:p w14:paraId="57BAF11E">
      <w:pPr>
        <w:spacing w:line="360" w:lineRule="auto"/>
        <w:ind w:firstLine="480" w:firstLineChars="200"/>
        <w:rPr>
          <w:rFonts w:ascii="宋体" w:hAnsi="宋体" w:cs="宋体"/>
          <w:b/>
          <w:bCs/>
          <w:color w:val="FF0000"/>
          <w:sz w:val="24"/>
        </w:rPr>
      </w:pPr>
      <w:r>
        <w:rPr>
          <w:rFonts w:hint="eastAsia" w:ascii="宋体" w:hAnsi="宋体" w:cs="宋体"/>
          <w:sz w:val="24"/>
        </w:rPr>
        <w:t>完成本项工作所需的人员工资（不得低于宿迁市现行最低工资标准）及加班费 （含节假日）等补助和福利费、耗材费、人员服装、社会保险、全员全额意外险（或雇主责任险）、垃圾清运、四害防治、人员培训、税金、利润、政策性调整引起的成本上升风险以及为完成后勤服务管理工作所涉及的一切所有费用， 采购人在上述价款之外不再支付其他任何费用。</w:t>
      </w:r>
      <w:r>
        <w:rPr>
          <w:rFonts w:hint="eastAsia" w:ascii="宋体" w:hAnsi="宋体" w:cs="宋体"/>
          <w:b/>
          <w:bCs/>
          <w:color w:val="FF0000"/>
          <w:sz w:val="24"/>
        </w:rPr>
        <w:t xml:space="preserve"> </w:t>
      </w:r>
    </w:p>
    <w:p w14:paraId="39C0F58C">
      <w:pPr>
        <w:pStyle w:val="101"/>
        <w:spacing w:line="500" w:lineRule="exact"/>
        <w:ind w:left="60" w:firstLine="480"/>
        <w:rPr>
          <w:rStyle w:val="186"/>
          <w:rFonts w:ascii="宋体" w:hAnsi="宋体" w:cs="宋体"/>
          <w:b/>
          <w:bCs/>
          <w:color w:val="000000"/>
          <w:sz w:val="24"/>
          <w:szCs w:val="24"/>
        </w:rPr>
      </w:pPr>
      <w:r>
        <w:rPr>
          <w:rStyle w:val="186"/>
          <w:rFonts w:hint="eastAsia" w:ascii="宋体" w:hAnsi="宋体" w:cs="宋体"/>
          <w:b/>
          <w:bCs/>
          <w:color w:val="000000"/>
          <w:sz w:val="24"/>
          <w:szCs w:val="24"/>
        </w:rPr>
        <w:t>2、报价说明：</w:t>
      </w:r>
    </w:p>
    <w:p w14:paraId="3A98DA0B">
      <w:pPr>
        <w:pStyle w:val="101"/>
        <w:spacing w:line="500" w:lineRule="exact"/>
        <w:ind w:left="60" w:firstLine="480"/>
        <w:rPr>
          <w:rStyle w:val="186"/>
          <w:rFonts w:ascii="宋体" w:hAnsi="宋体" w:cs="宋体"/>
          <w:color w:val="000000"/>
          <w:sz w:val="24"/>
          <w:szCs w:val="24"/>
        </w:rPr>
      </w:pPr>
      <w:r>
        <w:rPr>
          <w:rStyle w:val="186"/>
          <w:rFonts w:hint="eastAsia" w:ascii="宋体" w:hAnsi="宋体" w:cs="宋体"/>
          <w:color w:val="000000"/>
          <w:sz w:val="24"/>
          <w:szCs w:val="24"/>
        </w:rPr>
        <w:t>（1）本次谈判文件中规定的采购预算额度为招标最高限价，投标人的投标报价不得超出此额度。否则，投标无效。</w:t>
      </w:r>
    </w:p>
    <w:p w14:paraId="14F1BE34">
      <w:pPr>
        <w:pStyle w:val="101"/>
        <w:spacing w:line="500" w:lineRule="exact"/>
        <w:ind w:left="60" w:firstLine="480"/>
        <w:rPr>
          <w:rStyle w:val="186"/>
          <w:rFonts w:ascii="宋体" w:hAnsi="宋体" w:cs="宋体"/>
          <w:color w:val="000000"/>
          <w:sz w:val="24"/>
          <w:szCs w:val="24"/>
        </w:rPr>
      </w:pPr>
      <w:r>
        <w:rPr>
          <w:rStyle w:val="186"/>
          <w:rFonts w:hint="eastAsia" w:ascii="宋体" w:hAnsi="宋体" w:cs="宋体"/>
          <w:color w:val="000000"/>
          <w:sz w:val="24"/>
          <w:szCs w:val="24"/>
        </w:rPr>
        <w:t>（2）投标人报价时应充分考虑所有可能影响到报价的因素，一旦评标结束最终中标，如发生漏、缺、少项，都将被认为是中标人的报价让利行为，损失自负。</w:t>
      </w:r>
    </w:p>
    <w:p w14:paraId="191A7B14">
      <w:pPr>
        <w:pStyle w:val="231"/>
        <w:ind w:left="0" w:leftChars="0" w:firstLine="480" w:firstLineChars="200"/>
        <w:rPr>
          <w:rStyle w:val="186"/>
          <w:rFonts w:ascii="宋体" w:hAnsi="宋体" w:cs="宋体"/>
          <w:color w:val="000000"/>
          <w:sz w:val="24"/>
          <w:szCs w:val="24"/>
        </w:rPr>
      </w:pPr>
      <w:r>
        <w:rPr>
          <w:rStyle w:val="186"/>
          <w:rFonts w:hint="eastAsia" w:ascii="宋体" w:hAnsi="宋体" w:cs="宋体"/>
          <w:color w:val="000000"/>
          <w:sz w:val="24"/>
          <w:szCs w:val="24"/>
        </w:rPr>
        <w:t>（3）投标明细报价所涉及的员工工资、社保、保洁及工勤设备、用品采购或者折旧费、员工福利待遇、日常物耗及其他费用核算条目，须具体细化。</w:t>
      </w:r>
    </w:p>
    <w:p w14:paraId="27F06BDC">
      <w:pPr>
        <w:spacing w:line="360" w:lineRule="auto"/>
        <w:ind w:firstLine="448" w:firstLineChars="200"/>
        <w:rPr>
          <w:rFonts w:ascii="宋体" w:hAnsi="宋体" w:cs="宋体"/>
          <w:spacing w:val="-8"/>
          <w:sz w:val="24"/>
        </w:rPr>
      </w:pPr>
      <w:r>
        <w:rPr>
          <w:rFonts w:hint="eastAsia" w:ascii="宋体" w:hAnsi="宋体" w:cs="宋体"/>
          <w:spacing w:val="-8"/>
          <w:sz w:val="24"/>
        </w:rPr>
        <w:t xml:space="preserve">3、投标人应为项目组所有成员购买意外险（或雇主责任险），中标后提供保险机构出具的保险凭证，凭证中应明确反映本单位员工保险内容和单价。 </w:t>
      </w:r>
    </w:p>
    <w:p w14:paraId="4D66963C">
      <w:pPr>
        <w:spacing w:line="360" w:lineRule="auto"/>
        <w:ind w:firstLine="452" w:firstLineChars="200"/>
        <w:rPr>
          <w:rFonts w:ascii="宋体" w:hAnsi="宋体" w:cs="宋体"/>
          <w:spacing w:val="-7"/>
          <w:sz w:val="24"/>
        </w:rPr>
      </w:pPr>
      <w:r>
        <w:rPr>
          <w:rFonts w:hint="eastAsia" w:ascii="宋体" w:hAnsi="宋体" w:cs="宋体"/>
          <w:spacing w:val="-7"/>
          <w:sz w:val="24"/>
        </w:rPr>
        <w:t>4、投标人应在投标明细报价中为项目负责人和符合缴纳社保条件的项目组成员足额填报、购买社保。</w:t>
      </w:r>
    </w:p>
    <w:p w14:paraId="739E684A">
      <w:pPr>
        <w:spacing w:line="360" w:lineRule="auto"/>
        <w:ind w:firstLine="480" w:firstLineChars="200"/>
        <w:rPr>
          <w:rFonts w:ascii="宋体" w:hAnsi="宋体" w:cs="宋体"/>
          <w:sz w:val="24"/>
        </w:rPr>
      </w:pPr>
      <w:r>
        <w:rPr>
          <w:rFonts w:hint="eastAsia" w:ascii="宋体" w:hAnsi="宋体" w:cs="宋体"/>
          <w:sz w:val="24"/>
        </w:rPr>
        <w:t>5、中标单位每月15 日前需将人员工资支付情况报采购人备案。</w:t>
      </w:r>
    </w:p>
    <w:p w14:paraId="1F13DFB0">
      <w:pPr>
        <w:pStyle w:val="101"/>
        <w:spacing w:line="500" w:lineRule="exact"/>
        <w:ind w:left="60" w:firstLine="480"/>
        <w:rPr>
          <w:rStyle w:val="186"/>
          <w:rFonts w:ascii="宋体" w:hAnsi="宋体" w:cs="宋体"/>
          <w:color w:val="000000"/>
          <w:sz w:val="24"/>
          <w:szCs w:val="24"/>
        </w:rPr>
      </w:pPr>
      <w:r>
        <w:rPr>
          <w:rStyle w:val="186"/>
          <w:rFonts w:hint="eastAsia" w:ascii="宋体" w:hAnsi="宋体" w:cs="宋体"/>
          <w:b/>
          <w:bCs/>
          <w:color w:val="000000"/>
          <w:sz w:val="24"/>
          <w:szCs w:val="24"/>
        </w:rPr>
        <w:t>注：</w:t>
      </w:r>
      <w:r>
        <w:rPr>
          <w:rStyle w:val="186"/>
          <w:rFonts w:hint="eastAsia" w:ascii="宋体" w:hAnsi="宋体" w:cs="宋体"/>
          <w:color w:val="000000"/>
          <w:sz w:val="24"/>
          <w:szCs w:val="24"/>
        </w:rPr>
        <w:t>以上与本项目关联的人员及其他配置安排，均须满足本项目功能服务需求和采购人需求；投标人自行勘查现场了解实际情况，因勘察不足或不全面，导致投标人投标和经营管理产生的风险由投标人自行承担。</w:t>
      </w:r>
    </w:p>
    <w:p w14:paraId="58791FB4">
      <w:pPr>
        <w:pStyle w:val="148"/>
        <w:spacing w:line="360" w:lineRule="auto"/>
        <w:ind w:firstLine="562" w:firstLineChars="200"/>
        <w:outlineLvl w:val="1"/>
        <w:rPr>
          <w:rFonts w:ascii="宋体" w:hAnsi="宋体" w:cs="宋体"/>
          <w:b w:val="0"/>
          <w:sz w:val="28"/>
          <w:szCs w:val="28"/>
        </w:rPr>
      </w:pPr>
      <w:bookmarkStart w:id="79" w:name="_Toc11564"/>
      <w:r>
        <w:rPr>
          <w:rFonts w:hint="eastAsia" w:ascii="宋体" w:hAnsi="宋体" w:eastAsia="宋体" w:cs="宋体"/>
          <w:sz w:val="28"/>
          <w:szCs w:val="28"/>
        </w:rPr>
        <w:t>十、项目实施要求</w:t>
      </w:r>
      <w:bookmarkEnd w:id="79"/>
    </w:p>
    <w:p w14:paraId="39C22225">
      <w:pPr>
        <w:pStyle w:val="257"/>
        <w:spacing w:line="500" w:lineRule="exact"/>
        <w:ind w:firstLine="720" w:firstLineChars="300"/>
        <w:rPr>
          <w:rStyle w:val="186"/>
          <w:rFonts w:ascii="宋体" w:hAnsi="宋体" w:cs="宋体"/>
          <w:color w:val="000000"/>
          <w:sz w:val="24"/>
        </w:rPr>
      </w:pPr>
      <w:r>
        <w:rPr>
          <w:rStyle w:val="186"/>
          <w:rFonts w:hint="eastAsia" w:ascii="宋体" w:hAnsi="宋体" w:cs="宋体"/>
          <w:color w:val="000000"/>
          <w:sz w:val="24"/>
        </w:rPr>
        <w:t>第一部分：</w:t>
      </w:r>
    </w:p>
    <w:p w14:paraId="67A4B28A">
      <w:pPr>
        <w:spacing w:before="60" w:line="500" w:lineRule="exact"/>
        <w:ind w:firstLine="720" w:firstLineChars="300"/>
        <w:rPr>
          <w:rStyle w:val="186"/>
          <w:rFonts w:ascii="宋体" w:hAnsi="宋体" w:cs="宋体"/>
          <w:color w:val="000000"/>
          <w:sz w:val="24"/>
        </w:rPr>
      </w:pPr>
      <w:r>
        <w:rPr>
          <w:rStyle w:val="186"/>
          <w:rFonts w:hint="eastAsia" w:ascii="宋体" w:hAnsi="宋体" w:cs="宋体"/>
          <w:color w:val="000000"/>
          <w:sz w:val="24"/>
        </w:rPr>
        <w:t>实施方案：投标人提供项目实施方案、整体施工组织方案（含项目计划进度），计划（涵盖各节点计划时间、人员事务等具体安排）、配套服务措施（涵盖各岗位：内勤、保洁、工勤运送、维修、会务、自行配置工具耗材、服务成本结构细化等）人员岗位职责、服务标准、具体实施方案、培训及管理、考核方案，以及应急突发预案（含安全防范、消防、环保、洪涝、雨雪、停电（含电梯故障）、停水、突发人流量剧增及其他突发性事件等）等。</w:t>
      </w:r>
    </w:p>
    <w:p w14:paraId="346254D1">
      <w:pPr>
        <w:spacing w:before="60" w:line="500" w:lineRule="exact"/>
        <w:ind w:firstLine="720" w:firstLineChars="300"/>
        <w:rPr>
          <w:rStyle w:val="186"/>
          <w:rFonts w:ascii="宋体" w:hAnsi="宋体" w:cs="宋体"/>
          <w:color w:val="000000"/>
          <w:sz w:val="24"/>
        </w:rPr>
      </w:pPr>
      <w:r>
        <w:rPr>
          <w:rStyle w:val="186"/>
          <w:rFonts w:hint="eastAsia" w:ascii="宋体" w:hAnsi="宋体" w:cs="宋体"/>
          <w:color w:val="000000"/>
          <w:sz w:val="24"/>
        </w:rPr>
        <w:t>要求方案内容完整，措施较为具体，各环节衔接有序，要点基本完整，配置人员符合行业专业，应对措施应急处理响应体现效率，自行配置的工具、设备及耗材易耗品等清单详细，能够实现采购需求。服务期内，每年提供1场专题培训，有授课人员。</w:t>
      </w:r>
    </w:p>
    <w:p w14:paraId="3B5C92FE">
      <w:pPr>
        <w:pStyle w:val="254"/>
        <w:widowControl/>
        <w:spacing w:line="500" w:lineRule="exact"/>
        <w:ind w:firstLine="480" w:firstLineChars="200"/>
        <w:jc w:val="left"/>
        <w:rPr>
          <w:rStyle w:val="186"/>
          <w:rFonts w:ascii="宋体" w:hAnsi="宋体" w:cs="宋体"/>
          <w:color w:val="000000"/>
          <w:sz w:val="24"/>
          <w:szCs w:val="24"/>
        </w:rPr>
      </w:pPr>
      <w:r>
        <w:rPr>
          <w:rStyle w:val="186"/>
          <w:rFonts w:hint="eastAsia" w:ascii="宋体" w:hAnsi="宋体" w:cs="宋体"/>
          <w:color w:val="000000"/>
          <w:sz w:val="24"/>
          <w:szCs w:val="24"/>
        </w:rPr>
        <w:t>第二部分：</w:t>
      </w:r>
    </w:p>
    <w:p w14:paraId="697FF589">
      <w:pPr>
        <w:pStyle w:val="254"/>
        <w:widowControl/>
        <w:numPr>
          <w:ilvl w:val="0"/>
          <w:numId w:val="7"/>
        </w:numPr>
        <w:spacing w:line="400" w:lineRule="exact"/>
        <w:ind w:firstLine="480" w:firstLineChars="200"/>
        <w:jc w:val="left"/>
        <w:rPr>
          <w:rStyle w:val="186"/>
          <w:rFonts w:ascii="宋体" w:hAnsi="宋体" w:cs="宋体"/>
          <w:color w:val="000000"/>
          <w:sz w:val="24"/>
          <w:szCs w:val="24"/>
        </w:rPr>
      </w:pPr>
      <w:r>
        <w:rPr>
          <w:rStyle w:val="186"/>
          <w:rFonts w:hint="eastAsia" w:ascii="宋体" w:hAnsi="宋体" w:cs="宋体"/>
          <w:color w:val="000000"/>
          <w:sz w:val="24"/>
          <w:szCs w:val="24"/>
        </w:rPr>
        <w:t>深化方案</w:t>
      </w:r>
    </w:p>
    <w:p w14:paraId="6CFB6BBF">
      <w:pPr>
        <w:pStyle w:val="22"/>
        <w:spacing w:line="440" w:lineRule="exact"/>
        <w:ind w:firstLine="540"/>
        <w:rPr>
          <w:rStyle w:val="186"/>
          <w:rFonts w:ascii="宋体" w:hAnsi="宋体" w:cs="宋体"/>
          <w:color w:val="000000"/>
          <w:sz w:val="24"/>
          <w:szCs w:val="24"/>
        </w:rPr>
      </w:pPr>
      <w:r>
        <w:rPr>
          <w:rStyle w:val="186"/>
          <w:rFonts w:hint="eastAsia" w:ascii="宋体" w:hAnsi="宋体" w:cs="宋体"/>
          <w:color w:val="000000"/>
          <w:sz w:val="24"/>
          <w:szCs w:val="24"/>
        </w:rPr>
        <w:t>投标人中标后，须结合项目现场进行深化方案， 务必满足该项目整体需求； 中标后合同签订后3日历天内提供深化方案，须满足项目规范要求，书面文件报经甲方同意后，方可实施；</w:t>
      </w:r>
    </w:p>
    <w:p w14:paraId="04617C92">
      <w:pPr>
        <w:pStyle w:val="254"/>
        <w:widowControl/>
        <w:spacing w:line="440" w:lineRule="exact"/>
        <w:ind w:firstLine="480" w:firstLineChars="200"/>
        <w:jc w:val="left"/>
        <w:rPr>
          <w:rStyle w:val="186"/>
          <w:rFonts w:ascii="宋体" w:hAnsi="宋体" w:cs="宋体"/>
          <w:color w:val="000000"/>
          <w:sz w:val="24"/>
          <w:szCs w:val="24"/>
        </w:rPr>
      </w:pPr>
      <w:r>
        <w:rPr>
          <w:rStyle w:val="186"/>
          <w:rFonts w:hint="eastAsia" w:ascii="宋体" w:hAnsi="宋体" w:cs="宋体"/>
          <w:color w:val="000000"/>
          <w:sz w:val="24"/>
          <w:szCs w:val="24"/>
        </w:rPr>
        <w:t>（二）人员管理</w:t>
      </w:r>
    </w:p>
    <w:p w14:paraId="2AF49C05">
      <w:pPr>
        <w:pStyle w:val="254"/>
        <w:widowControl/>
        <w:spacing w:line="440" w:lineRule="exact"/>
        <w:ind w:firstLine="480" w:firstLineChars="200"/>
        <w:jc w:val="left"/>
        <w:rPr>
          <w:rStyle w:val="186"/>
          <w:rFonts w:ascii="宋体" w:hAnsi="宋体" w:cs="宋体"/>
          <w:color w:val="000000"/>
          <w:sz w:val="24"/>
          <w:szCs w:val="24"/>
        </w:rPr>
      </w:pPr>
      <w:r>
        <w:rPr>
          <w:rStyle w:val="186"/>
          <w:rFonts w:hint="eastAsia" w:ascii="宋体" w:hAnsi="宋体" w:cs="宋体"/>
          <w:color w:val="000000"/>
          <w:sz w:val="24"/>
          <w:szCs w:val="24"/>
        </w:rPr>
        <w:t xml:space="preserve">1、中标人必须按投标文件提供管理人员名单委派现场管理人员，非采购人要求的，原则上不得更换。如需更换必须提交书面申请，经采购人同意后方能更换，否则当中标人违反合同规定处理。 </w:t>
      </w:r>
    </w:p>
    <w:p w14:paraId="05124163">
      <w:pPr>
        <w:pStyle w:val="254"/>
        <w:widowControl/>
        <w:spacing w:line="440" w:lineRule="exact"/>
        <w:ind w:firstLine="480" w:firstLineChars="200"/>
        <w:jc w:val="left"/>
        <w:rPr>
          <w:rStyle w:val="186"/>
          <w:rFonts w:ascii="宋体" w:hAnsi="宋体" w:cs="宋体"/>
          <w:color w:val="000000"/>
          <w:sz w:val="24"/>
          <w:szCs w:val="24"/>
        </w:rPr>
      </w:pPr>
      <w:r>
        <w:rPr>
          <w:rStyle w:val="186"/>
          <w:rFonts w:hint="eastAsia" w:ascii="宋体" w:hAnsi="宋体" w:cs="宋体"/>
          <w:color w:val="000000"/>
          <w:sz w:val="24"/>
          <w:szCs w:val="24"/>
        </w:rPr>
        <w:t xml:space="preserve">2、中标人不得在合同期内私下将本项目转包，一经发现，采购人有权取消中标人的承包资格并追究其相关法律责任。 </w:t>
      </w:r>
    </w:p>
    <w:p w14:paraId="28633714">
      <w:pPr>
        <w:pStyle w:val="254"/>
        <w:widowControl/>
        <w:spacing w:line="440" w:lineRule="exact"/>
        <w:ind w:firstLine="480" w:firstLineChars="200"/>
        <w:jc w:val="left"/>
        <w:rPr>
          <w:rStyle w:val="186"/>
          <w:rFonts w:ascii="宋体" w:hAnsi="宋体" w:cs="宋体"/>
          <w:color w:val="000000"/>
          <w:sz w:val="24"/>
          <w:szCs w:val="24"/>
        </w:rPr>
      </w:pPr>
      <w:r>
        <w:rPr>
          <w:rStyle w:val="186"/>
          <w:rFonts w:hint="eastAsia" w:ascii="宋体" w:hAnsi="宋体" w:cs="宋体"/>
          <w:color w:val="000000"/>
          <w:sz w:val="24"/>
          <w:szCs w:val="24"/>
        </w:rPr>
        <w:t xml:space="preserve">3、中标人必须提交进场人员名单及身份证复印件给采购人备案。 </w:t>
      </w:r>
    </w:p>
    <w:p w14:paraId="0144B204">
      <w:pPr>
        <w:pStyle w:val="254"/>
        <w:widowControl/>
        <w:spacing w:line="440" w:lineRule="exact"/>
        <w:ind w:firstLine="480" w:firstLineChars="200"/>
        <w:jc w:val="left"/>
        <w:rPr>
          <w:rStyle w:val="186"/>
          <w:rFonts w:ascii="宋体" w:hAnsi="宋体" w:cs="宋体"/>
          <w:color w:val="000000"/>
          <w:sz w:val="24"/>
          <w:szCs w:val="24"/>
        </w:rPr>
      </w:pPr>
      <w:r>
        <w:rPr>
          <w:rStyle w:val="186"/>
          <w:rFonts w:hint="eastAsia" w:ascii="宋体" w:hAnsi="宋体" w:cs="宋体"/>
          <w:color w:val="000000"/>
          <w:sz w:val="24"/>
          <w:szCs w:val="24"/>
        </w:rPr>
        <w:t xml:space="preserve">4、进场人员必须严格遵守一切规章制度，自觉接受检查，服务期间，人员未经批准不得进入其他区域。 </w:t>
      </w:r>
    </w:p>
    <w:p w14:paraId="436DFC53">
      <w:pPr>
        <w:pStyle w:val="254"/>
        <w:widowControl/>
        <w:spacing w:line="440" w:lineRule="exact"/>
        <w:ind w:firstLine="480" w:firstLineChars="200"/>
        <w:jc w:val="left"/>
        <w:rPr>
          <w:rStyle w:val="186"/>
          <w:rFonts w:ascii="宋体" w:hAnsi="宋体" w:cs="宋体"/>
          <w:color w:val="000000"/>
          <w:sz w:val="24"/>
          <w:szCs w:val="24"/>
        </w:rPr>
      </w:pPr>
      <w:r>
        <w:rPr>
          <w:rStyle w:val="186"/>
          <w:rFonts w:hint="eastAsia" w:ascii="宋体" w:hAnsi="宋体" w:cs="宋体"/>
          <w:color w:val="000000"/>
          <w:sz w:val="24"/>
          <w:szCs w:val="24"/>
        </w:rPr>
        <w:t xml:space="preserve">5、中标人必须遵守采购人现场和人员管理的规定，严格执行安全生产管理相关要求。 </w:t>
      </w:r>
    </w:p>
    <w:p w14:paraId="6D75D0D2">
      <w:pPr>
        <w:pStyle w:val="254"/>
        <w:widowControl/>
        <w:spacing w:line="440" w:lineRule="exact"/>
        <w:ind w:firstLine="480" w:firstLineChars="200"/>
        <w:jc w:val="left"/>
        <w:rPr>
          <w:rStyle w:val="186"/>
          <w:rFonts w:ascii="宋体" w:hAnsi="宋体" w:cs="宋体"/>
          <w:color w:val="000000"/>
          <w:sz w:val="24"/>
          <w:szCs w:val="24"/>
        </w:rPr>
      </w:pPr>
      <w:r>
        <w:rPr>
          <w:rStyle w:val="186"/>
          <w:rFonts w:hint="eastAsia" w:ascii="宋体" w:hAnsi="宋体" w:cs="宋体"/>
          <w:color w:val="000000"/>
          <w:sz w:val="24"/>
          <w:szCs w:val="24"/>
        </w:rPr>
        <w:t xml:space="preserve">6、中标人必须注意安装现场安全，做好安全文明管理工作，一切责任由中标人负责。 </w:t>
      </w:r>
    </w:p>
    <w:p w14:paraId="5BD8F755">
      <w:pPr>
        <w:spacing w:line="360" w:lineRule="auto"/>
        <w:ind w:firstLine="480" w:firstLineChars="200"/>
        <w:rPr>
          <w:rFonts w:ascii="宋体" w:hAnsi="宋体" w:cs="宋体"/>
          <w:sz w:val="24"/>
        </w:rPr>
      </w:pPr>
      <w:r>
        <w:rPr>
          <w:rStyle w:val="186"/>
          <w:rFonts w:hint="eastAsia" w:ascii="宋体" w:hAnsi="宋体" w:cs="宋体"/>
          <w:color w:val="000000"/>
          <w:sz w:val="24"/>
        </w:rPr>
        <w:t xml:space="preserve">7、中标人在保证质量的前提下，应能按时完成所有工作内容。 </w:t>
      </w:r>
      <w:r>
        <w:rPr>
          <w:rFonts w:hint="eastAsia" w:ascii="宋体" w:hAnsi="宋体" w:cs="宋体"/>
          <w:sz w:val="24"/>
        </w:rPr>
        <w:t xml:space="preserve"> </w:t>
      </w:r>
    </w:p>
    <w:p w14:paraId="2D955936">
      <w:pPr>
        <w:autoSpaceDE w:val="0"/>
        <w:autoSpaceDN w:val="0"/>
        <w:spacing w:line="420" w:lineRule="exact"/>
        <w:ind w:firstLine="562" w:firstLineChars="200"/>
        <w:rPr>
          <w:rFonts w:ascii="宋体" w:hAnsi="宋体" w:cs="宋体"/>
          <w:b/>
          <w:sz w:val="28"/>
          <w:szCs w:val="28"/>
        </w:rPr>
      </w:pPr>
      <w:r>
        <w:rPr>
          <w:rFonts w:hint="eastAsia" w:ascii="宋体" w:hAnsi="宋体" w:cs="宋体"/>
          <w:b/>
          <w:sz w:val="28"/>
          <w:szCs w:val="28"/>
        </w:rPr>
        <w:t>十一、相关费用及其他要求</w:t>
      </w:r>
    </w:p>
    <w:p w14:paraId="558C4495">
      <w:pPr>
        <w:autoSpaceDE w:val="0"/>
        <w:autoSpaceDN w:val="0"/>
        <w:spacing w:line="460" w:lineRule="exact"/>
        <w:ind w:left="60" w:firstLine="480"/>
        <w:rPr>
          <w:rStyle w:val="186"/>
          <w:rFonts w:ascii="宋体" w:hAnsi="宋体" w:cs="宋体"/>
          <w:color w:val="000000"/>
          <w:sz w:val="24"/>
        </w:rPr>
      </w:pPr>
      <w:r>
        <w:rPr>
          <w:rStyle w:val="186"/>
          <w:rFonts w:hint="eastAsia" w:ascii="宋体" w:hAnsi="宋体" w:cs="宋体"/>
          <w:color w:val="000000"/>
          <w:sz w:val="24"/>
        </w:rPr>
        <w:t>（一）相关费用</w:t>
      </w:r>
    </w:p>
    <w:p w14:paraId="012FEB6A">
      <w:pPr>
        <w:autoSpaceDE w:val="0"/>
        <w:autoSpaceDN w:val="0"/>
        <w:adjustRightInd w:val="0"/>
        <w:spacing w:line="460" w:lineRule="exact"/>
        <w:ind w:firstLine="480" w:firstLineChars="200"/>
        <w:jc w:val="left"/>
        <w:rPr>
          <w:rStyle w:val="186"/>
          <w:rFonts w:ascii="宋体" w:hAnsi="宋体" w:cs="宋体"/>
          <w:color w:val="000000"/>
          <w:sz w:val="24"/>
        </w:rPr>
      </w:pPr>
      <w:r>
        <w:rPr>
          <w:rStyle w:val="186"/>
          <w:rFonts w:hint="eastAsia" w:ascii="宋体" w:hAnsi="宋体" w:cs="宋体"/>
          <w:color w:val="000000"/>
          <w:sz w:val="24"/>
        </w:rPr>
        <w:t>1、能耗。采购方无偿提供本项目服务期内项目所需场地（含办公用房、库房）、大型设施设备及水、电、气等能源（公共能耗）；</w:t>
      </w:r>
    </w:p>
    <w:p w14:paraId="2666E879">
      <w:pPr>
        <w:autoSpaceDE w:val="0"/>
        <w:autoSpaceDN w:val="0"/>
        <w:spacing w:line="460" w:lineRule="exact"/>
        <w:ind w:left="60" w:firstLine="480"/>
        <w:rPr>
          <w:rStyle w:val="186"/>
          <w:rFonts w:ascii="宋体" w:hAnsi="宋体" w:cs="宋体"/>
          <w:color w:val="000000"/>
          <w:sz w:val="24"/>
        </w:rPr>
      </w:pPr>
      <w:r>
        <w:rPr>
          <w:rStyle w:val="186"/>
          <w:rFonts w:hint="eastAsia" w:ascii="宋体" w:hAnsi="宋体" w:cs="宋体"/>
          <w:color w:val="000000"/>
          <w:sz w:val="24"/>
        </w:rPr>
        <w:t>中标方全面负责并承担以下工具、耗材事务及费用：</w:t>
      </w:r>
    </w:p>
    <w:p w14:paraId="54F12ED1">
      <w:pPr>
        <w:autoSpaceDE w:val="0"/>
        <w:autoSpaceDN w:val="0"/>
        <w:spacing w:line="460" w:lineRule="exact"/>
        <w:ind w:left="60" w:firstLine="480"/>
        <w:rPr>
          <w:rStyle w:val="186"/>
          <w:rFonts w:ascii="宋体" w:hAnsi="宋体" w:cs="宋体"/>
          <w:color w:val="000000"/>
          <w:sz w:val="24"/>
        </w:rPr>
      </w:pPr>
      <w:r>
        <w:rPr>
          <w:rStyle w:val="186"/>
          <w:rFonts w:hint="eastAsia" w:ascii="宋体" w:hAnsi="宋体" w:cs="宋体"/>
          <w:color w:val="000000"/>
          <w:sz w:val="24"/>
        </w:rPr>
        <w:t>后勤服务日常所需必要维修工具、保洁日常使用工具、一次性消耗品、耗材，电脑、考勤设备和打印机办公设备和耗材，桌椅办公家具及物品柜等运营管理所需物品。</w:t>
      </w:r>
    </w:p>
    <w:p w14:paraId="439DEA7E">
      <w:pPr>
        <w:autoSpaceDE w:val="0"/>
        <w:autoSpaceDN w:val="0"/>
        <w:adjustRightInd w:val="0"/>
        <w:spacing w:line="460" w:lineRule="exact"/>
        <w:jc w:val="left"/>
        <w:rPr>
          <w:rStyle w:val="186"/>
          <w:rFonts w:ascii="宋体" w:hAnsi="宋体" w:cs="宋体"/>
          <w:color w:val="000000"/>
          <w:sz w:val="24"/>
        </w:rPr>
      </w:pPr>
      <w:r>
        <w:rPr>
          <w:rStyle w:val="186"/>
          <w:rFonts w:hint="eastAsia" w:ascii="宋体" w:hAnsi="宋体" w:cs="宋体"/>
          <w:color w:val="000000"/>
          <w:sz w:val="24"/>
        </w:rPr>
        <w:t>提供的工具、耗材、设备符合国家相关规定、行业标准，经正规渠道采购，具有产品合格证质量证明。</w:t>
      </w:r>
    </w:p>
    <w:p w14:paraId="1C39CEC6">
      <w:pPr>
        <w:autoSpaceDE w:val="0"/>
        <w:autoSpaceDN w:val="0"/>
        <w:adjustRightInd w:val="0"/>
        <w:spacing w:line="460" w:lineRule="exact"/>
        <w:ind w:firstLine="480" w:firstLineChars="200"/>
        <w:jc w:val="left"/>
        <w:rPr>
          <w:rStyle w:val="186"/>
          <w:rFonts w:ascii="宋体" w:hAnsi="宋体" w:cs="宋体"/>
          <w:color w:val="000000"/>
          <w:sz w:val="24"/>
        </w:rPr>
      </w:pPr>
      <w:r>
        <w:rPr>
          <w:rStyle w:val="186"/>
          <w:rFonts w:hint="eastAsia" w:ascii="宋体" w:hAnsi="宋体" w:cs="宋体"/>
          <w:color w:val="000000"/>
          <w:sz w:val="24"/>
        </w:rPr>
        <w:t>2、维护保养：各项设施设备和本项目用品的维护和保养由中标人负责； 费用经双方核定后，按约定支付。中标人务必做好管理爱护维护工作，责任到人，专人保管，定期保养，及时维护，使之处于完整、良好的使用状态。因中标人管理使用不善（产品自身出厂自带质量问题、不可抗力损坏除外）导致甲方配置物品设施设备受损的，中标人全面承担其损失并赔偿所有损失费，并及时维修复原或更新更换；另外，中标方同时承担常规的维修、维护、保养费的10% ，确保管理运营正常，否则采购人将从该年度当期合同价款中直接扣除损失赔偿款项。</w:t>
      </w:r>
    </w:p>
    <w:p w14:paraId="70BE4417">
      <w:pPr>
        <w:autoSpaceDE w:val="0"/>
        <w:autoSpaceDN w:val="0"/>
        <w:adjustRightInd w:val="0"/>
        <w:spacing w:line="460" w:lineRule="exact"/>
        <w:ind w:firstLine="480" w:firstLineChars="200"/>
        <w:jc w:val="left"/>
        <w:rPr>
          <w:rStyle w:val="186"/>
          <w:rFonts w:ascii="宋体" w:hAnsi="宋体" w:cs="宋体"/>
          <w:color w:val="000000"/>
          <w:sz w:val="24"/>
        </w:rPr>
      </w:pPr>
      <w:r>
        <w:rPr>
          <w:rStyle w:val="186"/>
          <w:rFonts w:hint="eastAsia" w:ascii="宋体" w:hAnsi="宋体" w:cs="宋体"/>
          <w:color w:val="000000"/>
          <w:sz w:val="24"/>
        </w:rPr>
        <w:t>3、节能管理：中标人在项目管理工作中，须完善节能管理制度，厉行节约用水、用电、用气，加强维护和巡查，消除不必要的能源消耗。</w:t>
      </w:r>
    </w:p>
    <w:p w14:paraId="4E470F1B">
      <w:pPr>
        <w:autoSpaceDE w:val="0"/>
        <w:autoSpaceDN w:val="0"/>
        <w:adjustRightInd w:val="0"/>
        <w:spacing w:line="460" w:lineRule="exact"/>
        <w:ind w:firstLine="480" w:firstLineChars="200"/>
        <w:jc w:val="left"/>
        <w:rPr>
          <w:rStyle w:val="186"/>
          <w:rFonts w:ascii="宋体" w:hAnsi="宋体" w:cs="宋体"/>
          <w:color w:val="000000"/>
          <w:sz w:val="24"/>
        </w:rPr>
      </w:pPr>
      <w:r>
        <w:rPr>
          <w:rStyle w:val="186"/>
          <w:rFonts w:hint="eastAsia" w:ascii="宋体" w:hAnsi="宋体" w:cs="宋体"/>
          <w:color w:val="000000"/>
          <w:sz w:val="24"/>
        </w:rPr>
        <w:t>4、医疗废物及垃圾：中标方负责处理生活垃圾清运及处置；中标人负责将服务范围内的医疗垃圾清运至甲方医疗废物暂存点。</w:t>
      </w:r>
    </w:p>
    <w:p w14:paraId="171B5641">
      <w:pPr>
        <w:pStyle w:val="253"/>
        <w:spacing w:line="460" w:lineRule="exact"/>
        <w:ind w:firstLine="480" w:firstLineChars="200"/>
        <w:textAlignment w:val="baseline"/>
        <w:rPr>
          <w:rStyle w:val="186"/>
          <w:rFonts w:ascii="宋体" w:hAnsi="宋体" w:cs="宋体"/>
          <w:color w:val="000000"/>
          <w:sz w:val="24"/>
        </w:rPr>
      </w:pPr>
      <w:r>
        <w:rPr>
          <w:rStyle w:val="186"/>
          <w:rFonts w:hint="eastAsia" w:ascii="宋体" w:hAnsi="宋体" w:cs="宋体"/>
          <w:color w:val="000000"/>
          <w:sz w:val="24"/>
        </w:rPr>
        <w:t>5、员工工资福利：中标后，所有服务人员食宿、工资福利、相关社保（含第三方责任险、意外伤害险等）、服装费、管理费、培训费、税费等与本项目运营团队人员管理（至少包含下述1--3项）相关的费用全部由中标人承担并支付。与采购方无任何关系。</w:t>
      </w:r>
    </w:p>
    <w:p w14:paraId="0EC8AE1E">
      <w:pPr>
        <w:pStyle w:val="253"/>
        <w:spacing w:line="460" w:lineRule="exact"/>
        <w:ind w:firstLine="480" w:firstLineChars="200"/>
        <w:textAlignment w:val="baseline"/>
        <w:rPr>
          <w:rStyle w:val="186"/>
          <w:rFonts w:ascii="宋体" w:hAnsi="宋体" w:cs="宋体"/>
          <w:color w:val="000000"/>
          <w:sz w:val="24"/>
        </w:rPr>
      </w:pPr>
      <w:r>
        <w:rPr>
          <w:rStyle w:val="186"/>
          <w:rFonts w:hint="eastAsia" w:ascii="宋体" w:hAnsi="宋体" w:cs="宋体"/>
          <w:color w:val="000000"/>
          <w:sz w:val="24"/>
        </w:rPr>
        <w:t>（1）中标人须承诺按月发放人员工资，工资总额不得低于现行当地执行最低基础保障工资总额（须符合国家、行业规定） ；</w:t>
      </w:r>
    </w:p>
    <w:p w14:paraId="43CC78B5">
      <w:pPr>
        <w:autoSpaceDE w:val="0"/>
        <w:autoSpaceDN w:val="0"/>
        <w:spacing w:line="460" w:lineRule="exact"/>
        <w:ind w:left="60" w:firstLine="480"/>
        <w:rPr>
          <w:rStyle w:val="186"/>
          <w:rFonts w:ascii="宋体" w:hAnsi="宋体" w:cs="宋体"/>
          <w:color w:val="000000"/>
          <w:sz w:val="24"/>
        </w:rPr>
      </w:pPr>
      <w:r>
        <w:rPr>
          <w:rStyle w:val="186"/>
          <w:rFonts w:hint="eastAsia" w:ascii="宋体" w:hAnsi="宋体" w:cs="宋体"/>
          <w:color w:val="000000"/>
          <w:sz w:val="24"/>
        </w:rPr>
        <w:t>（2）中标人须执行国家社保相关规定，提供承诺书（格式自拟），且中标方自行全面承担本项目服务期限内可能产生的安全责任和劳动、经济纠纷、社会治安等风险责任。采购人对此不承担任何的责任和义务。</w:t>
      </w:r>
    </w:p>
    <w:p w14:paraId="163FA05B">
      <w:pPr>
        <w:pStyle w:val="253"/>
        <w:spacing w:line="460" w:lineRule="exact"/>
        <w:ind w:firstLine="480" w:firstLineChars="200"/>
        <w:textAlignment w:val="baseline"/>
        <w:rPr>
          <w:rStyle w:val="186"/>
          <w:rFonts w:ascii="宋体" w:hAnsi="宋体" w:cs="宋体"/>
          <w:color w:val="000000"/>
          <w:sz w:val="24"/>
        </w:rPr>
      </w:pPr>
      <w:r>
        <w:rPr>
          <w:rStyle w:val="186"/>
          <w:rFonts w:hint="eastAsia" w:ascii="宋体" w:hAnsi="宋体" w:cs="宋体"/>
          <w:color w:val="000000"/>
          <w:sz w:val="24"/>
        </w:rPr>
        <w:t>（3）中标人根据季节实际，发放员工服装。</w:t>
      </w:r>
    </w:p>
    <w:p w14:paraId="21F78C6A">
      <w:pPr>
        <w:numPr>
          <w:ilvl w:val="0"/>
          <w:numId w:val="8"/>
        </w:numPr>
        <w:autoSpaceDE w:val="0"/>
        <w:autoSpaceDN w:val="0"/>
        <w:spacing w:line="460" w:lineRule="exact"/>
        <w:ind w:left="60" w:firstLine="480"/>
        <w:rPr>
          <w:rStyle w:val="186"/>
          <w:rFonts w:ascii="宋体" w:hAnsi="宋体" w:cs="宋体"/>
          <w:color w:val="000000"/>
          <w:sz w:val="24"/>
        </w:rPr>
      </w:pPr>
      <w:r>
        <w:rPr>
          <w:rStyle w:val="186"/>
          <w:rFonts w:hint="eastAsia" w:ascii="宋体" w:hAnsi="宋体" w:cs="宋体"/>
          <w:color w:val="000000"/>
          <w:sz w:val="24"/>
        </w:rPr>
        <w:t>其他要求</w:t>
      </w:r>
    </w:p>
    <w:p w14:paraId="30D291AE">
      <w:pPr>
        <w:autoSpaceDE w:val="0"/>
        <w:autoSpaceDN w:val="0"/>
        <w:spacing w:line="500" w:lineRule="exact"/>
        <w:ind w:left="540"/>
        <w:rPr>
          <w:rStyle w:val="186"/>
          <w:rFonts w:ascii="宋体" w:hAnsi="宋体" w:cs="宋体"/>
          <w:color w:val="000000"/>
          <w:sz w:val="24"/>
        </w:rPr>
      </w:pPr>
      <w:r>
        <w:rPr>
          <w:rStyle w:val="186"/>
          <w:rFonts w:hint="eastAsia" w:ascii="宋体" w:hAnsi="宋体" w:cs="宋体"/>
          <w:color w:val="000000"/>
          <w:sz w:val="24"/>
        </w:rPr>
        <w:t>1、中标方员工必须统一着装，挂牌上岗，服从采购方日常临时工作安排。</w:t>
      </w:r>
    </w:p>
    <w:p w14:paraId="192B8B84">
      <w:pPr>
        <w:autoSpaceDE w:val="0"/>
        <w:autoSpaceDN w:val="0"/>
        <w:spacing w:line="500" w:lineRule="exact"/>
        <w:ind w:left="540"/>
        <w:rPr>
          <w:rStyle w:val="186"/>
          <w:rFonts w:ascii="宋体" w:hAnsi="宋体" w:cs="宋体"/>
          <w:color w:val="000000"/>
          <w:sz w:val="24"/>
        </w:rPr>
      </w:pPr>
      <w:r>
        <w:rPr>
          <w:rStyle w:val="186"/>
          <w:rFonts w:hint="eastAsia" w:ascii="宋体" w:hAnsi="宋体" w:cs="宋体"/>
          <w:color w:val="000000"/>
          <w:sz w:val="24"/>
        </w:rPr>
        <w:t>2、中标方因工作失误而造成采购方经济损失或工作负面影响，由中标方负责赔</w:t>
      </w:r>
    </w:p>
    <w:p w14:paraId="36940F7C">
      <w:pPr>
        <w:autoSpaceDE w:val="0"/>
        <w:autoSpaceDN w:val="0"/>
        <w:spacing w:line="500" w:lineRule="exact"/>
        <w:rPr>
          <w:rStyle w:val="186"/>
          <w:rFonts w:ascii="宋体" w:hAnsi="宋体" w:cs="宋体"/>
          <w:color w:val="000000"/>
          <w:sz w:val="24"/>
        </w:rPr>
      </w:pPr>
      <w:r>
        <w:rPr>
          <w:rStyle w:val="186"/>
          <w:rFonts w:hint="eastAsia" w:ascii="宋体" w:hAnsi="宋体" w:cs="宋体"/>
          <w:color w:val="000000"/>
          <w:sz w:val="24"/>
        </w:rPr>
        <w:t>偿经济损失。不可抗力的因素除外。</w:t>
      </w:r>
    </w:p>
    <w:p w14:paraId="6922DB4A">
      <w:pPr>
        <w:autoSpaceDE w:val="0"/>
        <w:autoSpaceDN w:val="0"/>
        <w:spacing w:line="500" w:lineRule="exact"/>
        <w:ind w:left="540"/>
        <w:rPr>
          <w:rStyle w:val="186"/>
          <w:rFonts w:ascii="宋体" w:hAnsi="宋体" w:cs="宋体"/>
          <w:color w:val="000000"/>
          <w:sz w:val="24"/>
        </w:rPr>
      </w:pPr>
      <w:r>
        <w:rPr>
          <w:rStyle w:val="186"/>
          <w:rFonts w:hint="eastAsia" w:ascii="宋体" w:hAnsi="宋体" w:cs="宋体"/>
          <w:color w:val="000000"/>
          <w:sz w:val="24"/>
        </w:rPr>
        <w:t>5、中标方必须接受采购方卫生质量、服务态度、安全等监督，若有违反相</w:t>
      </w:r>
    </w:p>
    <w:p w14:paraId="79439E84">
      <w:pPr>
        <w:autoSpaceDE w:val="0"/>
        <w:autoSpaceDN w:val="0"/>
        <w:spacing w:line="500" w:lineRule="exact"/>
        <w:rPr>
          <w:rStyle w:val="186"/>
          <w:rFonts w:ascii="宋体" w:hAnsi="宋体" w:cs="宋体"/>
          <w:color w:val="000000"/>
          <w:sz w:val="24"/>
        </w:rPr>
      </w:pPr>
      <w:r>
        <w:rPr>
          <w:rStyle w:val="186"/>
          <w:rFonts w:hint="eastAsia" w:ascii="宋体" w:hAnsi="宋体" w:cs="宋体"/>
          <w:color w:val="000000"/>
          <w:sz w:val="24"/>
        </w:rPr>
        <w:t>关规定和未达到后勤管理服务标准，采购方有权开具处罚通知书给中标方，中标方自愿接受该处罚并按要求支付违约金，违约金将从当期合同价款中扣除。</w:t>
      </w:r>
    </w:p>
    <w:p w14:paraId="322518BA">
      <w:pPr>
        <w:autoSpaceDE w:val="0"/>
        <w:autoSpaceDN w:val="0"/>
        <w:spacing w:line="460" w:lineRule="exact"/>
        <w:ind w:left="60" w:firstLine="480"/>
        <w:rPr>
          <w:rStyle w:val="186"/>
          <w:rFonts w:ascii="宋体" w:hAnsi="宋体" w:cs="宋体"/>
          <w:color w:val="000000"/>
          <w:sz w:val="24"/>
        </w:rPr>
      </w:pPr>
      <w:r>
        <w:rPr>
          <w:rStyle w:val="186"/>
          <w:rFonts w:hint="eastAsia" w:ascii="宋体" w:hAnsi="宋体" w:cs="宋体"/>
          <w:color w:val="000000"/>
          <w:sz w:val="24"/>
        </w:rPr>
        <w:t>6、本项目不得转包，一旦发现转包，采购方有权终止承包合同。</w:t>
      </w:r>
    </w:p>
    <w:p w14:paraId="54326B44">
      <w:pPr>
        <w:autoSpaceDE w:val="0"/>
        <w:autoSpaceDN w:val="0"/>
        <w:spacing w:line="460" w:lineRule="exact"/>
        <w:ind w:firstLine="480" w:firstLineChars="200"/>
        <w:rPr>
          <w:rStyle w:val="186"/>
          <w:rFonts w:ascii="宋体" w:hAnsi="宋体" w:cs="宋体"/>
          <w:color w:val="000000"/>
          <w:sz w:val="24"/>
        </w:rPr>
      </w:pPr>
      <w:r>
        <w:rPr>
          <w:rStyle w:val="186"/>
          <w:rFonts w:hint="eastAsia" w:ascii="宋体" w:hAnsi="宋体" w:cs="宋体"/>
          <w:color w:val="000000"/>
          <w:sz w:val="24"/>
        </w:rPr>
        <w:t>7、中标方应实施岗前培训，服务人员100％经过岗前培训合格才能上岗。定期进行职业培训和考核，教育员工节约用水用电，爱护公共财物。礼貌服务，日常工作中使用文明用语，遵守医院服务标准和要求。组织所有员工参加感染知识培训及学习基本的操作规程。</w:t>
      </w:r>
    </w:p>
    <w:p w14:paraId="2D49E56C">
      <w:pPr>
        <w:autoSpaceDE w:val="0"/>
        <w:autoSpaceDN w:val="0"/>
        <w:spacing w:line="460" w:lineRule="exact"/>
        <w:ind w:left="60" w:firstLine="480"/>
        <w:rPr>
          <w:rStyle w:val="186"/>
          <w:rFonts w:ascii="宋体" w:hAnsi="宋体" w:cs="宋体"/>
          <w:color w:val="000000"/>
          <w:sz w:val="24"/>
        </w:rPr>
      </w:pPr>
      <w:r>
        <w:rPr>
          <w:rStyle w:val="186"/>
          <w:rFonts w:hint="eastAsia" w:ascii="宋体" w:hAnsi="宋体" w:cs="宋体"/>
          <w:color w:val="000000"/>
          <w:sz w:val="24"/>
        </w:rPr>
        <w:t>8、管理要求：保洁人员根据医院管理要求，协助各病区收集特种垃圾。负责与特种垃圾回收人员办理交接手续，签字手续清楚，不得任意遗弃或以其他方式造成特种垃圾流失。其他废旧物资根据医院规定，由医院统一组织人员回收。</w:t>
      </w:r>
    </w:p>
    <w:p w14:paraId="76D1EF43">
      <w:pPr>
        <w:spacing w:line="540" w:lineRule="exact"/>
        <w:rPr>
          <w:rFonts w:ascii="宋体" w:hAnsi="宋体" w:cs="宋体"/>
          <w:b/>
          <w:bCs/>
          <w:sz w:val="44"/>
          <w:szCs w:val="32"/>
        </w:rPr>
      </w:pPr>
    </w:p>
    <w:p w14:paraId="6ED4C50A">
      <w:pPr>
        <w:spacing w:line="540" w:lineRule="exact"/>
        <w:ind w:firstLine="883" w:firstLineChars="200"/>
        <w:jc w:val="center"/>
        <w:rPr>
          <w:rFonts w:ascii="宋体" w:hAnsi="宋体" w:cs="宋体"/>
          <w:b/>
          <w:bCs/>
          <w:sz w:val="44"/>
          <w:szCs w:val="32"/>
        </w:rPr>
      </w:pPr>
    </w:p>
    <w:p w14:paraId="7397F974">
      <w:pPr>
        <w:spacing w:line="540" w:lineRule="exact"/>
        <w:ind w:firstLine="883" w:firstLineChars="200"/>
        <w:jc w:val="center"/>
        <w:rPr>
          <w:rFonts w:ascii="宋体" w:hAnsi="宋体" w:cs="宋体"/>
          <w:b/>
          <w:bCs/>
          <w:sz w:val="44"/>
          <w:szCs w:val="32"/>
        </w:rPr>
      </w:pPr>
    </w:p>
    <w:p w14:paraId="2849DBD7">
      <w:pPr>
        <w:spacing w:line="540" w:lineRule="exact"/>
        <w:ind w:firstLine="883" w:firstLineChars="200"/>
        <w:jc w:val="center"/>
        <w:rPr>
          <w:rFonts w:ascii="宋体" w:hAnsi="宋体" w:cs="宋体"/>
          <w:b/>
          <w:bCs/>
          <w:sz w:val="44"/>
          <w:szCs w:val="32"/>
        </w:rPr>
      </w:pPr>
    </w:p>
    <w:p w14:paraId="348394F5">
      <w:pPr>
        <w:spacing w:line="540" w:lineRule="exact"/>
        <w:ind w:firstLine="883" w:firstLineChars="200"/>
        <w:jc w:val="center"/>
        <w:rPr>
          <w:rFonts w:ascii="宋体" w:hAnsi="宋体" w:cs="宋体"/>
          <w:b/>
          <w:bCs/>
          <w:sz w:val="44"/>
          <w:szCs w:val="32"/>
        </w:rPr>
      </w:pPr>
    </w:p>
    <w:p w14:paraId="36F64A47">
      <w:pPr>
        <w:spacing w:line="540" w:lineRule="exact"/>
        <w:ind w:firstLine="883" w:firstLineChars="200"/>
        <w:jc w:val="center"/>
        <w:rPr>
          <w:rFonts w:ascii="宋体" w:hAnsi="宋体" w:cs="宋体"/>
          <w:b/>
          <w:bCs/>
          <w:sz w:val="44"/>
          <w:szCs w:val="32"/>
        </w:rPr>
      </w:pPr>
    </w:p>
    <w:p w14:paraId="218C6661">
      <w:pPr>
        <w:spacing w:line="540" w:lineRule="exact"/>
        <w:ind w:firstLine="883" w:firstLineChars="200"/>
        <w:jc w:val="center"/>
        <w:rPr>
          <w:rFonts w:ascii="宋体" w:hAnsi="宋体" w:cs="宋体"/>
          <w:b/>
          <w:bCs/>
          <w:sz w:val="44"/>
          <w:szCs w:val="32"/>
        </w:rPr>
      </w:pPr>
    </w:p>
    <w:p w14:paraId="22404FE3">
      <w:pPr>
        <w:spacing w:line="540" w:lineRule="exact"/>
        <w:ind w:firstLine="883" w:firstLineChars="200"/>
        <w:jc w:val="center"/>
        <w:rPr>
          <w:rFonts w:ascii="宋体" w:hAnsi="宋体" w:cs="宋体"/>
          <w:b/>
          <w:bCs/>
          <w:sz w:val="44"/>
          <w:szCs w:val="32"/>
        </w:rPr>
      </w:pPr>
    </w:p>
    <w:p w14:paraId="1845773B">
      <w:pPr>
        <w:spacing w:line="540" w:lineRule="exact"/>
        <w:ind w:firstLine="883" w:firstLineChars="200"/>
        <w:jc w:val="center"/>
        <w:rPr>
          <w:rFonts w:ascii="宋体" w:hAnsi="宋体" w:cs="宋体"/>
          <w:b/>
          <w:bCs/>
          <w:sz w:val="44"/>
          <w:szCs w:val="32"/>
        </w:rPr>
      </w:pPr>
    </w:p>
    <w:p w14:paraId="3BFBDC04">
      <w:pPr>
        <w:spacing w:line="540" w:lineRule="exact"/>
        <w:ind w:firstLine="883" w:firstLineChars="200"/>
        <w:jc w:val="center"/>
        <w:rPr>
          <w:rFonts w:ascii="宋体" w:hAnsi="宋体" w:cs="宋体"/>
          <w:b/>
          <w:bCs/>
          <w:sz w:val="44"/>
          <w:szCs w:val="32"/>
        </w:rPr>
      </w:pPr>
    </w:p>
    <w:p w14:paraId="4834472A">
      <w:pPr>
        <w:spacing w:line="540" w:lineRule="exact"/>
        <w:ind w:firstLine="883" w:firstLineChars="200"/>
        <w:jc w:val="center"/>
        <w:rPr>
          <w:rFonts w:ascii="宋体" w:hAnsi="宋体" w:cs="宋体"/>
          <w:b/>
          <w:bCs/>
          <w:sz w:val="44"/>
          <w:szCs w:val="32"/>
        </w:rPr>
      </w:pPr>
    </w:p>
    <w:p w14:paraId="189AFB90">
      <w:pPr>
        <w:spacing w:line="540" w:lineRule="exact"/>
        <w:ind w:firstLine="883" w:firstLineChars="200"/>
        <w:jc w:val="center"/>
        <w:rPr>
          <w:rFonts w:ascii="宋体" w:hAnsi="宋体" w:cs="宋体"/>
          <w:b/>
          <w:bCs/>
          <w:sz w:val="44"/>
          <w:szCs w:val="32"/>
        </w:rPr>
      </w:pPr>
    </w:p>
    <w:p w14:paraId="0CB18CF8">
      <w:pPr>
        <w:spacing w:line="540" w:lineRule="exact"/>
        <w:ind w:firstLine="883" w:firstLineChars="200"/>
        <w:jc w:val="center"/>
        <w:rPr>
          <w:rFonts w:ascii="宋体" w:hAnsi="宋体" w:cs="宋体"/>
          <w:b/>
          <w:bCs/>
          <w:sz w:val="44"/>
          <w:szCs w:val="32"/>
        </w:rPr>
      </w:pPr>
    </w:p>
    <w:p w14:paraId="1279CEC7">
      <w:pPr>
        <w:spacing w:line="540" w:lineRule="exact"/>
        <w:ind w:firstLine="883" w:firstLineChars="200"/>
        <w:jc w:val="center"/>
        <w:rPr>
          <w:rFonts w:ascii="宋体" w:hAnsi="宋体" w:cs="宋体"/>
          <w:b/>
          <w:bCs/>
          <w:sz w:val="44"/>
          <w:szCs w:val="32"/>
        </w:rPr>
      </w:pPr>
    </w:p>
    <w:p w14:paraId="0FDE3E36">
      <w:pPr>
        <w:spacing w:line="540" w:lineRule="exact"/>
        <w:ind w:firstLine="883" w:firstLineChars="200"/>
        <w:jc w:val="center"/>
        <w:rPr>
          <w:rFonts w:ascii="宋体" w:hAnsi="宋体" w:cs="宋体"/>
          <w:b/>
          <w:bCs/>
          <w:sz w:val="44"/>
          <w:szCs w:val="32"/>
        </w:rPr>
      </w:pPr>
    </w:p>
    <w:p w14:paraId="52A5FBA8">
      <w:pPr>
        <w:spacing w:line="540" w:lineRule="exact"/>
        <w:ind w:firstLine="883" w:firstLineChars="200"/>
        <w:jc w:val="center"/>
        <w:rPr>
          <w:rFonts w:ascii="宋体" w:hAnsi="宋体" w:cs="宋体"/>
          <w:b/>
          <w:bCs/>
          <w:sz w:val="44"/>
          <w:szCs w:val="32"/>
        </w:rPr>
      </w:pPr>
    </w:p>
    <w:p w14:paraId="53943A60">
      <w:pPr>
        <w:spacing w:line="540" w:lineRule="exact"/>
        <w:ind w:firstLine="883" w:firstLineChars="200"/>
        <w:jc w:val="center"/>
        <w:rPr>
          <w:rFonts w:ascii="宋体" w:hAnsi="宋体" w:cs="宋体"/>
          <w:b/>
          <w:bCs/>
          <w:sz w:val="44"/>
          <w:szCs w:val="32"/>
        </w:rPr>
      </w:pPr>
    </w:p>
    <w:p w14:paraId="56F7084F">
      <w:pPr>
        <w:spacing w:line="540" w:lineRule="exact"/>
        <w:ind w:firstLine="883" w:firstLineChars="200"/>
        <w:jc w:val="center"/>
        <w:rPr>
          <w:rFonts w:ascii="宋体" w:hAnsi="宋体" w:cs="宋体"/>
          <w:b/>
          <w:bCs/>
          <w:sz w:val="44"/>
          <w:szCs w:val="32"/>
        </w:rPr>
      </w:pPr>
    </w:p>
    <w:p w14:paraId="4163D1C8">
      <w:pPr>
        <w:spacing w:line="540" w:lineRule="exact"/>
        <w:ind w:firstLine="883" w:firstLineChars="200"/>
        <w:jc w:val="center"/>
        <w:rPr>
          <w:rFonts w:ascii="宋体" w:hAnsi="宋体" w:cs="宋体"/>
          <w:b/>
          <w:bCs/>
          <w:sz w:val="44"/>
          <w:szCs w:val="32"/>
        </w:rPr>
      </w:pPr>
    </w:p>
    <w:p w14:paraId="4EDC21E8">
      <w:pPr>
        <w:spacing w:line="540" w:lineRule="exact"/>
        <w:ind w:firstLine="883" w:firstLineChars="200"/>
        <w:jc w:val="center"/>
        <w:rPr>
          <w:rFonts w:ascii="宋体" w:hAnsi="宋体" w:cs="宋体"/>
          <w:b/>
          <w:bCs/>
          <w:sz w:val="44"/>
          <w:szCs w:val="32"/>
        </w:rPr>
      </w:pPr>
    </w:p>
    <w:p w14:paraId="1EB95B42">
      <w:pPr>
        <w:spacing w:line="540" w:lineRule="exact"/>
        <w:ind w:firstLine="883" w:firstLineChars="200"/>
        <w:jc w:val="center"/>
        <w:rPr>
          <w:rFonts w:ascii="宋体" w:hAnsi="宋体" w:cs="宋体"/>
          <w:b/>
          <w:bCs/>
          <w:sz w:val="44"/>
          <w:szCs w:val="32"/>
        </w:rPr>
      </w:pPr>
    </w:p>
    <w:p w14:paraId="65FE631C">
      <w:pPr>
        <w:spacing w:line="540" w:lineRule="exact"/>
        <w:ind w:firstLine="883" w:firstLineChars="200"/>
        <w:jc w:val="center"/>
        <w:rPr>
          <w:rFonts w:ascii="宋体" w:hAnsi="宋体" w:cs="宋体"/>
          <w:b/>
          <w:bCs/>
          <w:sz w:val="44"/>
          <w:szCs w:val="32"/>
        </w:rPr>
      </w:pPr>
    </w:p>
    <w:p w14:paraId="0EE3EE6A">
      <w:pPr>
        <w:spacing w:line="540" w:lineRule="exact"/>
        <w:ind w:firstLine="883" w:firstLineChars="200"/>
        <w:jc w:val="center"/>
        <w:outlineLvl w:val="0"/>
        <w:rPr>
          <w:rFonts w:ascii="宋体" w:hAnsi="宋体" w:cs="宋体"/>
          <w:b/>
          <w:bCs/>
          <w:sz w:val="44"/>
          <w:szCs w:val="32"/>
        </w:rPr>
      </w:pPr>
      <w:bookmarkStart w:id="80" w:name="_Toc1706"/>
      <w:r>
        <w:rPr>
          <w:rFonts w:hint="eastAsia" w:ascii="宋体" w:hAnsi="宋体" w:cs="宋体"/>
          <w:b/>
          <w:bCs/>
          <w:sz w:val="44"/>
          <w:szCs w:val="32"/>
        </w:rPr>
        <w:t>第五部分  合同格式及条款</w:t>
      </w:r>
      <w:bookmarkEnd w:id="67"/>
      <w:bookmarkEnd w:id="80"/>
    </w:p>
    <w:p w14:paraId="593E229C">
      <w:pPr>
        <w:spacing w:line="700" w:lineRule="exact"/>
        <w:jc w:val="center"/>
        <w:rPr>
          <w:rFonts w:ascii="宋体" w:hAnsi="宋体" w:cs="宋体"/>
          <w:b/>
          <w:sz w:val="30"/>
        </w:rPr>
      </w:pPr>
      <w:r>
        <w:rPr>
          <w:rFonts w:hint="eastAsia" w:ascii="宋体" w:hAnsi="宋体" w:cs="宋体"/>
          <w:b/>
          <w:sz w:val="32"/>
          <w:u w:val="single"/>
        </w:rPr>
        <w:t xml:space="preserve">         </w:t>
      </w:r>
      <w:r>
        <w:rPr>
          <w:rFonts w:hint="eastAsia" w:ascii="宋体" w:hAnsi="宋体" w:cs="宋体"/>
          <w:b/>
          <w:sz w:val="32"/>
        </w:rPr>
        <w:t>采购合同</w:t>
      </w:r>
    </w:p>
    <w:p w14:paraId="0B72DFF5">
      <w:pPr>
        <w:pStyle w:val="28"/>
        <w:snapToGrid w:val="0"/>
        <w:spacing w:before="120" w:after="120"/>
        <w:rPr>
          <w:rFonts w:hAnsi="宋体" w:cs="宋体"/>
          <w:sz w:val="24"/>
        </w:rPr>
      </w:pPr>
      <w:r>
        <w:rPr>
          <w:rFonts w:hint="eastAsia" w:hAnsi="宋体" w:cs="宋体"/>
          <w:sz w:val="24"/>
        </w:rPr>
        <w:t>项目名称：</w:t>
      </w:r>
      <w:r>
        <w:rPr>
          <w:rFonts w:hint="eastAsia" w:hAnsi="宋体" w:cs="宋体"/>
          <w:sz w:val="24"/>
          <w:highlight w:val="white"/>
        </w:rPr>
        <w:t>宿迁市宿城区龙河人民医院后勤服务采购项目</w:t>
      </w:r>
      <w:r>
        <w:rPr>
          <w:rFonts w:hint="eastAsia" w:hAnsi="宋体" w:cs="宋体"/>
          <w:sz w:val="24"/>
        </w:rPr>
        <w:t xml:space="preserve">                                      </w:t>
      </w:r>
    </w:p>
    <w:p w14:paraId="510683F5">
      <w:pPr>
        <w:pStyle w:val="28"/>
        <w:snapToGrid w:val="0"/>
        <w:spacing w:before="120" w:after="120"/>
        <w:rPr>
          <w:rFonts w:hAnsi="宋体" w:cs="宋体"/>
          <w:sz w:val="24"/>
        </w:rPr>
      </w:pPr>
      <w:r>
        <w:rPr>
          <w:rFonts w:hint="eastAsia" w:hAnsi="宋体" w:cs="宋体"/>
          <w:sz w:val="24"/>
        </w:rPr>
        <w:t>项目编号：JSZC-321302-JSFY-G2024-0015</w:t>
      </w:r>
    </w:p>
    <w:p w14:paraId="02013290">
      <w:pPr>
        <w:pStyle w:val="28"/>
        <w:snapToGrid w:val="0"/>
        <w:spacing w:before="120" w:after="120"/>
        <w:rPr>
          <w:rFonts w:hAnsi="宋体" w:cs="宋体"/>
          <w:sz w:val="24"/>
        </w:rPr>
      </w:pPr>
      <w:r>
        <w:rPr>
          <w:rFonts w:hint="eastAsia" w:hAnsi="宋体" w:cs="宋体"/>
          <w:sz w:val="24"/>
        </w:rPr>
        <w:t>甲方：（采购人）_________</w:t>
      </w:r>
    </w:p>
    <w:p w14:paraId="02FD68A7">
      <w:pPr>
        <w:pStyle w:val="28"/>
        <w:snapToGrid w:val="0"/>
        <w:spacing w:before="120" w:after="120"/>
        <w:rPr>
          <w:rFonts w:hAnsi="宋体" w:cs="宋体"/>
          <w:sz w:val="24"/>
        </w:rPr>
      </w:pPr>
      <w:r>
        <w:rPr>
          <w:rFonts w:hint="eastAsia" w:hAnsi="宋体" w:cs="宋体"/>
          <w:sz w:val="24"/>
        </w:rPr>
        <w:t>乙方：（中标人）_________</w:t>
      </w:r>
    </w:p>
    <w:p w14:paraId="4EA473D6">
      <w:pPr>
        <w:pStyle w:val="28"/>
        <w:snapToGrid w:val="0"/>
        <w:spacing w:before="120" w:after="120"/>
        <w:rPr>
          <w:rFonts w:hAnsi="宋体" w:cs="宋体"/>
          <w:b/>
          <w:sz w:val="24"/>
        </w:rPr>
      </w:pPr>
      <w:r>
        <w:rPr>
          <w:rFonts w:hint="eastAsia" w:hAnsi="宋体" w:cs="宋体"/>
          <w:b/>
          <w:sz w:val="24"/>
        </w:rPr>
        <w:t xml:space="preserve">   </w:t>
      </w:r>
      <w:r>
        <w:rPr>
          <w:rFonts w:hint="eastAsia" w:hAnsi="宋体" w:cs="宋体"/>
          <w:sz w:val="24"/>
        </w:rPr>
        <w:t>甲、乙双方根据</w:t>
      </w:r>
      <w:r>
        <w:rPr>
          <w:rFonts w:hint="eastAsia" w:hAnsi="宋体" w:cs="宋体"/>
          <w:sz w:val="24"/>
          <w:u w:val="single"/>
        </w:rPr>
        <w:t xml:space="preserve">         </w:t>
      </w:r>
      <w:r>
        <w:rPr>
          <w:rFonts w:hint="eastAsia" w:hAnsi="宋体" w:cs="宋体"/>
          <w:sz w:val="24"/>
        </w:rPr>
        <w:t>项目竞争性谈判的结果，签署本合同。</w:t>
      </w:r>
    </w:p>
    <w:p w14:paraId="15FCA6D1">
      <w:pPr>
        <w:pStyle w:val="28"/>
        <w:snapToGrid w:val="0"/>
        <w:spacing w:before="120" w:after="120"/>
        <w:rPr>
          <w:rFonts w:hAnsi="宋体" w:cs="宋体"/>
          <w:b/>
          <w:sz w:val="24"/>
        </w:rPr>
      </w:pPr>
      <w:r>
        <w:rPr>
          <w:rFonts w:hint="eastAsia" w:hAnsi="宋体" w:cs="宋体"/>
          <w:b/>
          <w:sz w:val="24"/>
        </w:rPr>
        <w:t>一、合同内容</w:t>
      </w:r>
    </w:p>
    <w:p w14:paraId="1898561A">
      <w:pPr>
        <w:pStyle w:val="28"/>
        <w:snapToGrid w:val="0"/>
        <w:spacing w:before="120" w:after="120"/>
        <w:rPr>
          <w:rFonts w:hAnsi="宋体" w:cs="宋体"/>
          <w:sz w:val="24"/>
        </w:rPr>
      </w:pPr>
      <w:r>
        <w:rPr>
          <w:rFonts w:hint="eastAsia" w:hAnsi="宋体" w:cs="宋体"/>
          <w:sz w:val="24"/>
        </w:rPr>
        <w:t>1.1 标的名称：</w:t>
      </w:r>
      <w:r>
        <w:rPr>
          <w:rFonts w:hint="eastAsia" w:hAnsi="宋体" w:cs="宋体"/>
          <w:sz w:val="24"/>
          <w:highlight w:val="white"/>
        </w:rPr>
        <w:t>宿迁市宿城区龙河人民医院后勤服务采购项目</w:t>
      </w:r>
    </w:p>
    <w:p w14:paraId="272BE370">
      <w:pPr>
        <w:pStyle w:val="28"/>
        <w:snapToGrid w:val="0"/>
        <w:spacing w:before="120" w:after="120"/>
        <w:rPr>
          <w:rFonts w:hAnsi="宋体" w:cs="宋体"/>
          <w:sz w:val="24"/>
        </w:rPr>
      </w:pPr>
      <w:r>
        <w:rPr>
          <w:rFonts w:hint="eastAsia" w:hAnsi="宋体" w:cs="宋体"/>
          <w:sz w:val="24"/>
        </w:rPr>
        <w:t>1.2标的质量：</w:t>
      </w:r>
    </w:p>
    <w:p w14:paraId="59C0F7CF">
      <w:pPr>
        <w:pStyle w:val="28"/>
        <w:snapToGrid w:val="0"/>
        <w:spacing w:before="120" w:after="120"/>
        <w:rPr>
          <w:rFonts w:hAnsi="宋体" w:cs="宋体"/>
          <w:sz w:val="24"/>
        </w:rPr>
      </w:pPr>
      <w:r>
        <w:rPr>
          <w:rFonts w:hint="eastAsia" w:hAnsi="宋体" w:cs="宋体"/>
          <w:sz w:val="24"/>
        </w:rPr>
        <w:t>1.3 标的数量（规模）：</w:t>
      </w:r>
    </w:p>
    <w:p w14:paraId="5AEF9BE9">
      <w:pPr>
        <w:pStyle w:val="28"/>
        <w:snapToGrid w:val="0"/>
        <w:spacing w:before="120" w:after="120"/>
        <w:rPr>
          <w:rFonts w:hAnsi="宋体" w:cs="宋体"/>
          <w:sz w:val="24"/>
        </w:rPr>
      </w:pPr>
      <w:r>
        <w:rPr>
          <w:rFonts w:hint="eastAsia" w:hAnsi="宋体" w:cs="宋体"/>
          <w:sz w:val="24"/>
        </w:rPr>
        <w:t>1.4 履行时间（期限）：</w:t>
      </w:r>
    </w:p>
    <w:p w14:paraId="353D2013">
      <w:pPr>
        <w:pStyle w:val="28"/>
        <w:snapToGrid w:val="0"/>
        <w:spacing w:before="120" w:after="120"/>
        <w:rPr>
          <w:rFonts w:hAnsi="宋体" w:cs="宋体"/>
          <w:sz w:val="24"/>
        </w:rPr>
      </w:pPr>
      <w:r>
        <w:rPr>
          <w:rFonts w:hint="eastAsia" w:hAnsi="宋体" w:cs="宋体"/>
          <w:sz w:val="24"/>
        </w:rPr>
        <w:t>1.5 履行地点：</w:t>
      </w:r>
    </w:p>
    <w:p w14:paraId="050437FF">
      <w:pPr>
        <w:pStyle w:val="28"/>
        <w:snapToGrid w:val="0"/>
        <w:spacing w:before="120" w:after="120"/>
        <w:rPr>
          <w:rFonts w:hAnsi="宋体" w:cs="宋体"/>
          <w:sz w:val="24"/>
        </w:rPr>
      </w:pPr>
      <w:r>
        <w:rPr>
          <w:rFonts w:hint="eastAsia" w:hAnsi="宋体" w:cs="宋体"/>
          <w:sz w:val="24"/>
        </w:rPr>
        <w:t>1.6履行方式：</w:t>
      </w:r>
    </w:p>
    <w:p w14:paraId="0DE4E2DE">
      <w:pPr>
        <w:pStyle w:val="28"/>
        <w:snapToGrid w:val="0"/>
        <w:spacing w:before="120" w:after="120"/>
        <w:rPr>
          <w:rFonts w:hAnsi="宋体" w:cs="宋体"/>
          <w:b/>
          <w:sz w:val="24"/>
        </w:rPr>
      </w:pPr>
      <w:r>
        <w:rPr>
          <w:rFonts w:hint="eastAsia" w:hAnsi="宋体" w:cs="宋体"/>
          <w:b/>
          <w:sz w:val="24"/>
        </w:rPr>
        <w:t>二、合同金额</w:t>
      </w:r>
    </w:p>
    <w:p w14:paraId="20E01F17">
      <w:pPr>
        <w:pStyle w:val="28"/>
        <w:snapToGrid w:val="0"/>
        <w:spacing w:before="120" w:after="120"/>
        <w:ind w:left="410" w:hanging="410" w:hangingChars="171"/>
        <w:rPr>
          <w:rFonts w:hAnsi="宋体" w:cs="宋体"/>
          <w:sz w:val="24"/>
        </w:rPr>
      </w:pPr>
      <w:r>
        <w:rPr>
          <w:rFonts w:hint="eastAsia" w:hAnsi="宋体" w:cs="宋体"/>
          <w:sz w:val="24"/>
        </w:rPr>
        <w:t>2.1 本合同金额为（大写）：____________________________________圆（_______________元）人民币或其他币种。</w:t>
      </w:r>
    </w:p>
    <w:p w14:paraId="511570EC">
      <w:pPr>
        <w:pStyle w:val="28"/>
        <w:snapToGrid w:val="0"/>
        <w:spacing w:before="120" w:after="120"/>
        <w:rPr>
          <w:rFonts w:hAnsi="宋体" w:cs="宋体"/>
          <w:b/>
          <w:sz w:val="24"/>
        </w:rPr>
      </w:pPr>
      <w:r>
        <w:rPr>
          <w:rFonts w:hint="eastAsia" w:hAnsi="宋体" w:cs="宋体"/>
          <w:b/>
          <w:sz w:val="24"/>
        </w:rPr>
        <w:t>三、技术资料</w:t>
      </w:r>
    </w:p>
    <w:p w14:paraId="3E99F715">
      <w:pPr>
        <w:pStyle w:val="28"/>
        <w:snapToGrid w:val="0"/>
        <w:spacing w:before="120" w:after="120"/>
        <w:ind w:left="410" w:hanging="410" w:hangingChars="171"/>
        <w:rPr>
          <w:rFonts w:hAnsi="宋体" w:cs="宋体"/>
          <w:color w:val="000000"/>
          <w:sz w:val="24"/>
        </w:rPr>
      </w:pPr>
      <w:r>
        <w:rPr>
          <w:rFonts w:hint="eastAsia" w:hAnsi="宋体" w:cs="宋体"/>
          <w:sz w:val="24"/>
        </w:rPr>
        <w:t>3.1</w:t>
      </w:r>
      <w:r>
        <w:rPr>
          <w:rFonts w:hint="eastAsia" w:hAnsi="宋体" w:cs="宋体"/>
          <w:color w:val="000000"/>
          <w:sz w:val="24"/>
          <w:szCs w:val="21"/>
        </w:rPr>
        <w:t>乙方应按谈判文件规定的时间向甲方提供服务（包含与服务相关的货物）的有关技术资料。</w:t>
      </w:r>
    </w:p>
    <w:p w14:paraId="33A8C94E">
      <w:pPr>
        <w:pStyle w:val="28"/>
        <w:snapToGrid w:val="0"/>
        <w:spacing w:before="120" w:after="120"/>
        <w:ind w:left="410" w:hanging="410" w:hangingChars="171"/>
        <w:rPr>
          <w:rFonts w:hAnsi="宋体" w:cs="宋体"/>
          <w:color w:val="000000"/>
          <w:sz w:val="24"/>
        </w:rPr>
      </w:pPr>
      <w:r>
        <w:rPr>
          <w:rFonts w:hint="eastAsia" w:hAnsi="宋体" w:cs="宋体"/>
          <w:color w:val="000000"/>
          <w:sz w:val="24"/>
          <w:szCs w:val="21"/>
        </w:rPr>
        <w:t>3.2 没有甲方事先书面同意，乙方不得将由甲方提供的有关合同或任何合同条文、规格、计划、图纸、样品或资料提供给予履行本合同无关的任何其他人。即使向履行本合同有关的人员提供，也应注意保密并限于履行合同的必需范围。</w:t>
      </w:r>
    </w:p>
    <w:p w14:paraId="6D3F85A8">
      <w:pPr>
        <w:pStyle w:val="28"/>
        <w:snapToGrid w:val="0"/>
        <w:spacing w:before="120" w:after="120"/>
        <w:ind w:left="412" w:hanging="412" w:hangingChars="171"/>
        <w:rPr>
          <w:rFonts w:hAnsi="宋体" w:cs="宋体"/>
          <w:b/>
          <w:sz w:val="24"/>
        </w:rPr>
      </w:pPr>
      <w:r>
        <w:rPr>
          <w:rFonts w:hint="eastAsia" w:hAnsi="宋体" w:cs="宋体"/>
          <w:b/>
          <w:sz w:val="24"/>
        </w:rPr>
        <w:t>四、知识产权</w:t>
      </w:r>
    </w:p>
    <w:p w14:paraId="38F77372">
      <w:pPr>
        <w:pStyle w:val="28"/>
        <w:snapToGrid w:val="0"/>
        <w:spacing w:before="120" w:after="120"/>
        <w:ind w:left="408" w:hanging="408" w:hangingChars="170"/>
        <w:rPr>
          <w:rFonts w:hAnsi="宋体" w:cs="宋体"/>
          <w:sz w:val="24"/>
        </w:rPr>
      </w:pPr>
      <w:r>
        <w:rPr>
          <w:rFonts w:hint="eastAsia" w:hAnsi="宋体" w:cs="宋体"/>
          <w:sz w:val="24"/>
        </w:rPr>
        <w:t>4.1乙方应保证甲方在使用、接受本合同服务（包含与服务相关的货物）或其任何一部分时不受第三方提出侵犯其专利权、版权、商标权和工业设计权等知识产权的起诉。一旦出现侵权，由乙方负全部责任。</w:t>
      </w:r>
    </w:p>
    <w:p w14:paraId="0814A82C">
      <w:pPr>
        <w:pStyle w:val="28"/>
        <w:snapToGrid w:val="0"/>
        <w:spacing w:before="120" w:after="120"/>
        <w:rPr>
          <w:rFonts w:hAnsi="宋体" w:cs="宋体"/>
          <w:sz w:val="24"/>
          <w:u w:val="single"/>
        </w:rPr>
      </w:pPr>
      <w:r>
        <w:rPr>
          <w:rFonts w:hint="eastAsia" w:hAnsi="宋体" w:cs="宋体"/>
          <w:b/>
          <w:sz w:val="24"/>
        </w:rPr>
        <w:t>五、产权担保</w:t>
      </w:r>
    </w:p>
    <w:p w14:paraId="1B84459A">
      <w:pPr>
        <w:pStyle w:val="28"/>
        <w:snapToGrid w:val="0"/>
        <w:spacing w:before="120" w:after="120"/>
        <w:ind w:left="408" w:hanging="408" w:hangingChars="170"/>
        <w:rPr>
          <w:rFonts w:hAnsi="宋体" w:cs="宋体"/>
          <w:bCs/>
          <w:sz w:val="24"/>
          <w:lang w:val="zh-CN"/>
        </w:rPr>
      </w:pPr>
      <w:r>
        <w:rPr>
          <w:rFonts w:hint="eastAsia" w:hAnsi="宋体" w:cs="宋体"/>
          <w:bCs/>
          <w:sz w:val="24"/>
          <w:szCs w:val="21"/>
          <w:lang w:val="zh-CN"/>
        </w:rPr>
        <w:t>5.1 乙方保证所交付的服务（包含与服务相关的货物）的所有权完全属于乙方且无任何抵押、查封等产权瑕疵。</w:t>
      </w:r>
    </w:p>
    <w:p w14:paraId="3C6EDF77">
      <w:pPr>
        <w:pStyle w:val="28"/>
        <w:snapToGrid w:val="0"/>
        <w:spacing w:before="120" w:after="120"/>
        <w:ind w:left="410" w:hanging="410" w:hangingChars="170"/>
        <w:rPr>
          <w:rFonts w:hAnsi="宋体" w:cs="宋体"/>
          <w:b/>
          <w:sz w:val="24"/>
        </w:rPr>
      </w:pPr>
      <w:r>
        <w:rPr>
          <w:rFonts w:hint="eastAsia" w:hAnsi="宋体" w:cs="宋体"/>
          <w:b/>
          <w:sz w:val="24"/>
        </w:rPr>
        <w:t>六、</w:t>
      </w:r>
      <w:r>
        <w:rPr>
          <w:rFonts w:hint="eastAsia" w:hAnsi="宋体" w:cs="宋体"/>
          <w:b/>
          <w:sz w:val="24"/>
          <w:highlight w:val="yellow"/>
        </w:rPr>
        <w:t>履约保证金</w:t>
      </w:r>
    </w:p>
    <w:p w14:paraId="047FACC1">
      <w:pPr>
        <w:spacing w:line="500" w:lineRule="exact"/>
        <w:ind w:firstLine="480" w:firstLineChars="200"/>
        <w:rPr>
          <w:rFonts w:ascii="宋体" w:hAnsi="宋体" w:cs="宋体"/>
          <w:bCs/>
          <w:sz w:val="24"/>
        </w:rPr>
      </w:pPr>
      <w:r>
        <w:rPr>
          <w:rFonts w:hint="eastAsia" w:ascii="宋体" w:hAnsi="宋体" w:cs="宋体"/>
          <w:bCs/>
          <w:sz w:val="24"/>
          <w:szCs w:val="21"/>
        </w:rPr>
        <w:t>本项目不收取履约保证金。</w:t>
      </w:r>
    </w:p>
    <w:p w14:paraId="31131765">
      <w:pPr>
        <w:snapToGrid w:val="0"/>
        <w:spacing w:before="156" w:beforeLines="50" w:after="156" w:afterLines="50"/>
        <w:rPr>
          <w:rFonts w:ascii="宋体" w:hAnsi="宋体" w:cs="宋体"/>
          <w:b/>
          <w:sz w:val="24"/>
        </w:rPr>
      </w:pPr>
      <w:r>
        <w:rPr>
          <w:rFonts w:hint="eastAsia" w:ascii="宋体" w:hAnsi="宋体" w:cs="宋体"/>
          <w:b/>
          <w:sz w:val="24"/>
        </w:rPr>
        <w:t>七、合同转包或分包</w:t>
      </w:r>
    </w:p>
    <w:p w14:paraId="447548C5">
      <w:pPr>
        <w:snapToGrid w:val="0"/>
        <w:spacing w:before="156" w:beforeLines="50" w:after="156" w:afterLines="50"/>
        <w:rPr>
          <w:rFonts w:ascii="宋体" w:hAnsi="宋体" w:cs="宋体"/>
          <w:sz w:val="24"/>
        </w:rPr>
      </w:pPr>
      <w:r>
        <w:rPr>
          <w:rFonts w:hint="eastAsia" w:ascii="宋体" w:hAnsi="宋体" w:cs="宋体"/>
          <w:sz w:val="24"/>
        </w:rPr>
        <w:t>7.1乙方不得将合同标的转包给他人履行。</w:t>
      </w:r>
    </w:p>
    <w:p w14:paraId="6275878E">
      <w:pPr>
        <w:snapToGrid w:val="0"/>
        <w:spacing w:before="156" w:beforeLines="50" w:after="156" w:afterLines="50"/>
        <w:rPr>
          <w:rFonts w:ascii="宋体" w:hAnsi="宋体" w:cs="宋体"/>
          <w:sz w:val="24"/>
        </w:rPr>
      </w:pPr>
      <w:r>
        <w:rPr>
          <w:rFonts w:hint="eastAsia" w:ascii="宋体" w:hAnsi="宋体" w:cs="宋体"/>
          <w:sz w:val="24"/>
        </w:rPr>
        <w:t>7.2乙方不得将合同标的分包给他人履行。</w:t>
      </w:r>
    </w:p>
    <w:p w14:paraId="51DE3232">
      <w:pPr>
        <w:snapToGrid w:val="0"/>
        <w:spacing w:before="156" w:beforeLines="50" w:after="156" w:afterLines="50"/>
        <w:rPr>
          <w:rFonts w:ascii="宋体" w:hAnsi="宋体" w:cs="宋体"/>
          <w:sz w:val="24"/>
        </w:rPr>
      </w:pPr>
      <w:r>
        <w:rPr>
          <w:rFonts w:hint="eastAsia" w:ascii="宋体" w:hAnsi="宋体" w:cs="宋体"/>
          <w:sz w:val="24"/>
        </w:rPr>
        <w:t>7.3乙方如有转包或未经甲方同意的分包行为，甲方有权解除合同。</w:t>
      </w:r>
    </w:p>
    <w:p w14:paraId="5438794F">
      <w:pPr>
        <w:pStyle w:val="28"/>
        <w:snapToGrid w:val="0"/>
        <w:spacing w:before="120" w:after="120"/>
        <w:rPr>
          <w:rFonts w:hAnsi="宋体" w:cs="宋体"/>
          <w:b/>
          <w:sz w:val="24"/>
        </w:rPr>
      </w:pPr>
      <w:r>
        <w:rPr>
          <w:rFonts w:hint="eastAsia" w:hAnsi="宋体" w:cs="宋体"/>
          <w:b/>
          <w:sz w:val="24"/>
        </w:rPr>
        <w:t>八、合同款项支付</w:t>
      </w:r>
    </w:p>
    <w:p w14:paraId="1592C10A">
      <w:pPr>
        <w:pStyle w:val="28"/>
        <w:snapToGrid w:val="0"/>
        <w:spacing w:before="120" w:after="120"/>
        <w:rPr>
          <w:rFonts w:hAnsi="宋体" w:cs="宋体"/>
          <w:bCs/>
          <w:sz w:val="24"/>
        </w:rPr>
      </w:pPr>
      <w:r>
        <w:rPr>
          <w:rFonts w:hint="eastAsia" w:hAnsi="宋体" w:cs="宋体"/>
          <w:bCs/>
          <w:sz w:val="24"/>
        </w:rPr>
        <w:t>8.1合同款项的支付方式及进度安排</w:t>
      </w:r>
    </w:p>
    <w:p w14:paraId="3A046158">
      <w:pPr>
        <w:numPr>
          <w:ilvl w:val="0"/>
          <w:numId w:val="9"/>
        </w:numPr>
        <w:spacing w:line="560" w:lineRule="exact"/>
        <w:ind w:firstLine="482"/>
        <w:rPr>
          <w:rFonts w:ascii="宋体" w:hAnsi="宋体" w:cs="宋体"/>
          <w:bCs/>
          <w:sz w:val="24"/>
          <w:highlight w:val="white"/>
        </w:rPr>
      </w:pPr>
      <w:r>
        <w:rPr>
          <w:rFonts w:hint="eastAsia" w:ascii="宋体" w:hAnsi="宋体" w:cs="宋体"/>
          <w:bCs/>
          <w:sz w:val="24"/>
          <w:highlight w:val="white"/>
        </w:rPr>
        <w:t>付款</w:t>
      </w:r>
    </w:p>
    <w:p w14:paraId="55173619">
      <w:pPr>
        <w:pStyle w:val="232"/>
        <w:spacing w:line="500" w:lineRule="exact"/>
        <w:ind w:firstLine="480"/>
        <w:rPr>
          <w:rStyle w:val="186"/>
          <w:rFonts w:ascii="宋体" w:hAnsi="宋体" w:cs="宋体"/>
          <w:color w:val="000000"/>
          <w:sz w:val="24"/>
          <w:szCs w:val="24"/>
        </w:rPr>
      </w:pPr>
      <w:r>
        <w:rPr>
          <w:rFonts w:hint="eastAsia" w:ascii="宋体" w:hAnsi="宋体" w:cs="宋体"/>
          <w:bCs/>
          <w:sz w:val="24"/>
        </w:rPr>
        <w:t xml:space="preserve"> 预付款：</w:t>
      </w:r>
      <w:r>
        <w:rPr>
          <w:rStyle w:val="186"/>
          <w:rFonts w:hint="eastAsia" w:ascii="宋体" w:hAnsi="宋体" w:cs="宋体"/>
          <w:color w:val="000000"/>
          <w:sz w:val="24"/>
          <w:szCs w:val="24"/>
        </w:rPr>
        <w:t>合同签订后，甲方在接到乙方票据的</w:t>
      </w:r>
      <w:r>
        <w:rPr>
          <w:rFonts w:hint="eastAsia" w:ascii="宋体" w:hAnsi="宋体" w:cs="宋体"/>
          <w:color w:val="000000"/>
          <w:sz w:val="24"/>
        </w:rPr>
        <w:t>10个工作日内</w:t>
      </w:r>
      <w:r>
        <w:rPr>
          <w:rStyle w:val="186"/>
          <w:rFonts w:hint="eastAsia" w:ascii="宋体" w:hAnsi="宋体" w:cs="宋体"/>
          <w:color w:val="000000"/>
          <w:sz w:val="24"/>
          <w:szCs w:val="24"/>
        </w:rPr>
        <w:t>，支付合同金额的10%作为预付款；</w:t>
      </w:r>
    </w:p>
    <w:p w14:paraId="768341B5">
      <w:pPr>
        <w:pStyle w:val="232"/>
        <w:spacing w:line="500" w:lineRule="exact"/>
        <w:ind w:firstLine="480"/>
        <w:rPr>
          <w:rFonts w:ascii="宋体" w:hAnsi="宋体" w:cs="宋体"/>
          <w:bCs/>
          <w:sz w:val="24"/>
          <w:highlight w:val="white"/>
        </w:rPr>
      </w:pPr>
      <w:r>
        <w:rPr>
          <w:rFonts w:hint="eastAsia" w:ascii="宋体" w:hAnsi="宋体" w:cs="宋体"/>
          <w:bCs/>
          <w:sz w:val="24"/>
          <w:highlight w:val="white"/>
        </w:rPr>
        <w:t>进度款：</w:t>
      </w:r>
      <w:r>
        <w:rPr>
          <w:rFonts w:hint="eastAsia" w:ascii="宋体" w:hAnsi="宋体" w:cs="宋体"/>
          <w:bCs/>
          <w:color w:val="000000"/>
          <w:sz w:val="24"/>
        </w:rPr>
        <w:t>甲方按季度考核后支付。</w:t>
      </w:r>
      <w:r>
        <w:rPr>
          <w:rFonts w:hint="eastAsia" w:ascii="宋体" w:hAnsi="宋体" w:cs="宋体"/>
          <w:color w:val="000000"/>
          <w:sz w:val="24"/>
        </w:rPr>
        <w:t>乙方根据每季度实际发生的所有后勤管理（考核后的）费用开具合法票据，甲方在接到乙方票据的</w:t>
      </w:r>
      <w:r>
        <w:rPr>
          <w:rFonts w:hint="eastAsia" w:ascii="宋体" w:hAnsi="宋体" w:cs="宋体"/>
          <w:b/>
          <w:color w:val="000000"/>
          <w:sz w:val="24"/>
        </w:rPr>
        <w:t>10个工作日内</w:t>
      </w:r>
      <w:r>
        <w:rPr>
          <w:rFonts w:hint="eastAsia" w:ascii="宋体" w:hAnsi="宋体" w:cs="宋体"/>
          <w:color w:val="000000"/>
          <w:sz w:val="24"/>
        </w:rPr>
        <w:t>将上个季度实际发生的所有后勤管理（考核后的）费用支付给乙方。</w:t>
      </w:r>
      <w:r>
        <w:rPr>
          <w:rStyle w:val="186"/>
          <w:rFonts w:hint="eastAsia" w:ascii="宋体" w:hAnsi="宋体" w:cs="宋体"/>
          <w:color w:val="000000"/>
          <w:sz w:val="24"/>
          <w:szCs w:val="24"/>
        </w:rPr>
        <w:t>本项目付款推广采用数字化人民币支付。</w:t>
      </w:r>
      <w:r>
        <w:rPr>
          <w:rFonts w:hint="eastAsia" w:ascii="宋体" w:hAnsi="宋体" w:cs="宋体"/>
          <w:bCs/>
          <w:sz w:val="24"/>
          <w:highlight w:val="white"/>
        </w:rPr>
        <w:t xml:space="preserve">                      </w:t>
      </w:r>
    </w:p>
    <w:p w14:paraId="247CBAC9">
      <w:pPr>
        <w:spacing w:line="560" w:lineRule="exact"/>
        <w:ind w:firstLine="482"/>
        <w:rPr>
          <w:rFonts w:ascii="宋体" w:hAnsi="宋体" w:cs="宋体"/>
          <w:bCs/>
          <w:sz w:val="24"/>
          <w:highlight w:val="white"/>
        </w:rPr>
      </w:pPr>
      <w:r>
        <w:rPr>
          <w:rFonts w:hint="eastAsia" w:ascii="宋体" w:hAnsi="宋体" w:cs="宋体"/>
          <w:bCs/>
          <w:sz w:val="24"/>
          <w:highlight w:val="white"/>
        </w:rPr>
        <w:t>注：在签订合同时，乙方明确表示无需预付款或者主动要求降低预付款比例的金额，甲方可不适用预付款规定。</w:t>
      </w:r>
    </w:p>
    <w:p w14:paraId="60167893">
      <w:pPr>
        <w:pStyle w:val="235"/>
        <w:spacing w:line="500" w:lineRule="exact"/>
        <w:ind w:firstLine="480"/>
        <w:rPr>
          <w:rStyle w:val="186"/>
          <w:rFonts w:ascii="宋体" w:hAnsi="宋体" w:cs="宋体"/>
          <w:color w:val="000000"/>
          <w:sz w:val="24"/>
        </w:rPr>
      </w:pPr>
      <w:r>
        <w:rPr>
          <w:rStyle w:val="186"/>
          <w:rFonts w:hint="eastAsia" w:ascii="宋体" w:hAnsi="宋体" w:cs="宋体"/>
          <w:color w:val="000000"/>
          <w:sz w:val="24"/>
        </w:rPr>
        <w:t>（2）结算：按季度支付合同款，每季度经甲方考核合格后支付一次，乙方凭税务部门正式发票进行结算。</w:t>
      </w:r>
    </w:p>
    <w:p w14:paraId="591C8B26">
      <w:pPr>
        <w:pStyle w:val="235"/>
        <w:spacing w:line="500" w:lineRule="exact"/>
        <w:ind w:firstLine="240"/>
        <w:rPr>
          <w:rStyle w:val="186"/>
          <w:rFonts w:ascii="宋体" w:hAnsi="宋体" w:cs="宋体"/>
          <w:color w:val="000000"/>
          <w:sz w:val="24"/>
        </w:rPr>
      </w:pPr>
      <w:r>
        <w:rPr>
          <w:rStyle w:val="186"/>
          <w:rFonts w:hint="eastAsia" w:ascii="宋体" w:hAnsi="宋体" w:cs="宋体"/>
          <w:color w:val="000000"/>
          <w:sz w:val="24"/>
        </w:rPr>
        <w:t xml:space="preserve">   乙方当季度考核支付金额=(考核实际得分)/100*（中标金额/4）；</w:t>
      </w:r>
    </w:p>
    <w:p w14:paraId="3713124A">
      <w:pPr>
        <w:pStyle w:val="235"/>
        <w:spacing w:line="500" w:lineRule="exact"/>
        <w:ind w:firstLine="240"/>
        <w:rPr>
          <w:rStyle w:val="186"/>
          <w:rFonts w:ascii="宋体" w:hAnsi="宋体" w:cs="宋体"/>
          <w:color w:val="000000"/>
          <w:sz w:val="24"/>
        </w:rPr>
      </w:pPr>
      <w:r>
        <w:rPr>
          <w:rStyle w:val="186"/>
          <w:rFonts w:hint="eastAsia" w:ascii="宋体" w:hAnsi="宋体" w:cs="宋体"/>
          <w:color w:val="000000"/>
          <w:sz w:val="24"/>
        </w:rPr>
        <w:t>注：（1）中标金额/4 ：属于每个季度合同价付款金额；合同服务期内，如有增减，据实考核支付，总增量原则上不得超过本项目合同中标价的10%。</w:t>
      </w:r>
    </w:p>
    <w:p w14:paraId="71B1606B">
      <w:pPr>
        <w:pStyle w:val="235"/>
        <w:spacing w:line="500" w:lineRule="exact"/>
        <w:ind w:firstLine="720"/>
        <w:rPr>
          <w:rStyle w:val="186"/>
          <w:rFonts w:ascii="宋体" w:hAnsi="宋体" w:cs="宋体"/>
          <w:color w:val="000000"/>
          <w:sz w:val="24"/>
        </w:rPr>
      </w:pPr>
      <w:r>
        <w:rPr>
          <w:rStyle w:val="186"/>
          <w:rFonts w:hint="eastAsia" w:ascii="宋体" w:hAnsi="宋体" w:cs="宋体"/>
          <w:color w:val="000000"/>
          <w:sz w:val="24"/>
        </w:rPr>
        <w:t>（2）当季考核得分在90分及以上的，不予扣款，全额支付当季服务费用。</w:t>
      </w:r>
    </w:p>
    <w:p w14:paraId="3CCCEA46">
      <w:pPr>
        <w:spacing w:line="500" w:lineRule="exact"/>
        <w:rPr>
          <w:rFonts w:ascii="宋体" w:hAnsi="宋体" w:cs="宋体"/>
          <w:color w:val="000000"/>
          <w:sz w:val="24"/>
          <w:lang w:val="zh-CN"/>
        </w:rPr>
      </w:pPr>
      <w:r>
        <w:rPr>
          <w:rFonts w:hint="eastAsia" w:ascii="宋体" w:hAnsi="宋体" w:cs="宋体"/>
          <w:color w:val="000000"/>
          <w:sz w:val="24"/>
          <w:lang w:val="zh-CN"/>
        </w:rPr>
        <w:t>资金支付的</w:t>
      </w:r>
      <w:r>
        <w:rPr>
          <w:rFonts w:hint="eastAsia" w:ascii="宋体" w:hAnsi="宋体" w:cs="宋体"/>
          <w:color w:val="000000"/>
          <w:sz w:val="24"/>
        </w:rPr>
        <w:t>时间</w:t>
      </w:r>
      <w:r>
        <w:rPr>
          <w:rFonts w:hint="eastAsia" w:ascii="宋体" w:hAnsi="宋体" w:cs="宋体"/>
          <w:color w:val="000000"/>
          <w:sz w:val="24"/>
          <w:lang w:val="zh-CN"/>
        </w:rPr>
        <w:t>：</w:t>
      </w:r>
      <w:r>
        <w:rPr>
          <w:rFonts w:hint="eastAsia" w:ascii="宋体" w:hAnsi="宋体" w:cs="宋体"/>
          <w:color w:val="000000"/>
          <w:sz w:val="24"/>
        </w:rPr>
        <w:t>收到乙方发票10个工作日内</w:t>
      </w:r>
      <w:r>
        <w:rPr>
          <w:rFonts w:hint="eastAsia" w:ascii="宋体" w:hAnsi="宋体" w:cs="宋体"/>
          <w:color w:val="000000"/>
          <w:sz w:val="24"/>
          <w:lang w:val="zh-CN"/>
        </w:rPr>
        <w:t>；</w:t>
      </w:r>
    </w:p>
    <w:p w14:paraId="1C444D95">
      <w:pPr>
        <w:spacing w:line="500" w:lineRule="exact"/>
        <w:rPr>
          <w:rFonts w:ascii="宋体" w:hAnsi="宋体" w:cs="宋体"/>
          <w:bCs/>
          <w:sz w:val="24"/>
          <w:highlight w:val="white"/>
        </w:rPr>
      </w:pPr>
      <w:r>
        <w:rPr>
          <w:rFonts w:hint="eastAsia" w:ascii="宋体" w:hAnsi="宋体" w:cs="宋体"/>
          <w:color w:val="000000"/>
          <w:sz w:val="24"/>
          <w:lang w:val="zh-CN"/>
        </w:rPr>
        <w:t>资金支付</w:t>
      </w:r>
      <w:r>
        <w:rPr>
          <w:rFonts w:hint="eastAsia" w:ascii="宋体" w:hAnsi="宋体" w:cs="宋体"/>
          <w:color w:val="000000"/>
          <w:sz w:val="24"/>
        </w:rPr>
        <w:t>的条件：满足相应阶段的要求且收到乙方发票；</w:t>
      </w:r>
    </w:p>
    <w:p w14:paraId="036111EB">
      <w:pPr>
        <w:snapToGrid w:val="0"/>
        <w:spacing w:before="156" w:beforeLines="50" w:after="156" w:afterLines="50"/>
        <w:rPr>
          <w:rFonts w:ascii="宋体" w:hAnsi="宋体" w:cs="宋体"/>
          <w:b/>
          <w:sz w:val="24"/>
        </w:rPr>
      </w:pPr>
      <w:r>
        <w:rPr>
          <w:rFonts w:hint="eastAsia" w:ascii="宋体" w:hAnsi="宋体" w:cs="宋体"/>
          <w:b/>
          <w:sz w:val="24"/>
        </w:rPr>
        <w:t>九、税费</w:t>
      </w:r>
    </w:p>
    <w:p w14:paraId="3DF90E1B">
      <w:pPr>
        <w:snapToGrid w:val="0"/>
        <w:spacing w:before="156" w:beforeLines="50" w:after="156" w:afterLines="50"/>
        <w:rPr>
          <w:rFonts w:ascii="宋体" w:hAnsi="宋体" w:cs="宋体"/>
          <w:sz w:val="24"/>
        </w:rPr>
      </w:pPr>
      <w:r>
        <w:rPr>
          <w:rFonts w:hint="eastAsia" w:ascii="宋体" w:hAnsi="宋体" w:cs="宋体"/>
          <w:sz w:val="24"/>
        </w:rPr>
        <w:t>9.1本合同执行中相关的一切税费均由乙方负担。</w:t>
      </w:r>
    </w:p>
    <w:p w14:paraId="169F0252">
      <w:pPr>
        <w:pStyle w:val="28"/>
        <w:snapToGrid w:val="0"/>
        <w:spacing w:before="120" w:after="120"/>
        <w:rPr>
          <w:rFonts w:hAnsi="宋体" w:cs="宋体"/>
          <w:b/>
          <w:sz w:val="24"/>
        </w:rPr>
      </w:pPr>
      <w:r>
        <w:rPr>
          <w:rFonts w:hint="eastAsia" w:hAnsi="宋体" w:cs="宋体"/>
          <w:b/>
          <w:sz w:val="24"/>
        </w:rPr>
        <w:t>十、项目验收</w:t>
      </w:r>
    </w:p>
    <w:p w14:paraId="6D28B577">
      <w:pPr>
        <w:pStyle w:val="28"/>
        <w:snapToGrid w:val="0"/>
        <w:spacing w:before="120" w:after="120"/>
        <w:ind w:left="480" w:hanging="480" w:hangingChars="200"/>
        <w:rPr>
          <w:rFonts w:hAnsi="宋体" w:cs="宋体"/>
          <w:sz w:val="24"/>
        </w:rPr>
      </w:pPr>
      <w:r>
        <w:rPr>
          <w:rFonts w:hint="eastAsia" w:hAnsi="宋体" w:cs="宋体"/>
          <w:sz w:val="24"/>
        </w:rPr>
        <w:t>10.1 甲方依法组织履约验收工作。</w:t>
      </w:r>
    </w:p>
    <w:p w14:paraId="4DC6807A">
      <w:pPr>
        <w:pStyle w:val="236"/>
        <w:spacing w:line="500" w:lineRule="exact"/>
        <w:rPr>
          <w:rFonts w:ascii="宋体" w:hAnsi="宋体" w:eastAsia="宋体" w:cs="宋体"/>
          <w:b w:val="0"/>
          <w:color w:val="000000"/>
          <w:sz w:val="24"/>
        </w:rPr>
      </w:pPr>
      <w:r>
        <w:rPr>
          <w:rFonts w:hint="eastAsia" w:ascii="宋体" w:hAnsi="宋体" w:eastAsia="宋体" w:cs="宋体"/>
          <w:b w:val="0"/>
          <w:color w:val="000000"/>
          <w:sz w:val="24"/>
        </w:rPr>
        <w:t>（1）质量要求；合格。符合行业规范及要求、符合项目谈判文件及投标响应文件要求。</w:t>
      </w:r>
    </w:p>
    <w:p w14:paraId="533BB80A">
      <w:pPr>
        <w:spacing w:line="500" w:lineRule="exact"/>
        <w:rPr>
          <w:rFonts w:ascii="宋体" w:hAnsi="宋体" w:cs="宋体"/>
          <w:color w:val="000000"/>
          <w:sz w:val="24"/>
        </w:rPr>
      </w:pPr>
      <w:r>
        <w:rPr>
          <w:rFonts w:hint="eastAsia" w:ascii="宋体" w:hAnsi="宋体" w:cs="宋体"/>
          <w:color w:val="000000"/>
          <w:sz w:val="24"/>
        </w:rPr>
        <w:t>（2）验收方案：全面完成本项目服务后，乙方提出验收申请，甲方按程序组织验收。</w:t>
      </w:r>
    </w:p>
    <w:p w14:paraId="35102ACE">
      <w:pPr>
        <w:pStyle w:val="237"/>
        <w:spacing w:line="500" w:lineRule="exact"/>
        <w:ind w:firstLine="480"/>
        <w:rPr>
          <w:rFonts w:ascii="宋体" w:hAnsi="宋体" w:cs="宋体"/>
          <w:color w:val="000000"/>
          <w:sz w:val="24"/>
          <w:szCs w:val="24"/>
        </w:rPr>
      </w:pPr>
      <w:r>
        <w:rPr>
          <w:rFonts w:hint="eastAsia" w:ascii="宋体" w:hAnsi="宋体" w:cs="宋体"/>
          <w:color w:val="000000"/>
          <w:sz w:val="24"/>
          <w:szCs w:val="24"/>
        </w:rPr>
        <w:t>验收主体：宿迁市宿城区龙河人民医院。</w:t>
      </w:r>
    </w:p>
    <w:p w14:paraId="4846EC24">
      <w:pPr>
        <w:pStyle w:val="236"/>
        <w:spacing w:line="500" w:lineRule="exact"/>
        <w:ind w:firstLine="480"/>
        <w:rPr>
          <w:rFonts w:ascii="宋体" w:hAnsi="宋体" w:eastAsia="宋体" w:cs="宋体"/>
          <w:b w:val="0"/>
          <w:color w:val="000000"/>
          <w:sz w:val="24"/>
        </w:rPr>
      </w:pPr>
      <w:r>
        <w:rPr>
          <w:rFonts w:hint="eastAsia" w:ascii="宋体" w:hAnsi="宋体" w:eastAsia="宋体" w:cs="宋体"/>
          <w:b w:val="0"/>
          <w:color w:val="000000"/>
          <w:sz w:val="24"/>
        </w:rPr>
        <w:t>验收时间：项目合同履约期结束，满足验收条件情况下，7个工作日内，宿迁市宿城区龙河人民医院组织开展本项目的履约验收评价，出具履约验收评价报告；</w:t>
      </w:r>
    </w:p>
    <w:p w14:paraId="63DDE99B">
      <w:pPr>
        <w:pStyle w:val="236"/>
        <w:spacing w:line="500" w:lineRule="exact"/>
        <w:ind w:firstLine="480"/>
        <w:rPr>
          <w:rFonts w:ascii="宋体" w:hAnsi="宋体" w:eastAsia="宋体" w:cs="宋体"/>
          <w:b w:val="0"/>
          <w:color w:val="000000"/>
          <w:sz w:val="24"/>
          <w:lang w:bidi="ar"/>
        </w:rPr>
      </w:pPr>
      <w:r>
        <w:rPr>
          <w:rFonts w:hint="eastAsia" w:ascii="宋体" w:hAnsi="宋体" w:eastAsia="宋体" w:cs="宋体"/>
          <w:b w:val="0"/>
          <w:color w:val="000000"/>
          <w:sz w:val="24"/>
        </w:rPr>
        <w:t>验收标准：应符合国家、行业规范及要求。符合本项目谈判文件需求及要求、响应文件及其承诺。</w:t>
      </w:r>
    </w:p>
    <w:p w14:paraId="5357D8EB">
      <w:pPr>
        <w:pStyle w:val="236"/>
        <w:spacing w:line="500" w:lineRule="exact"/>
        <w:ind w:firstLine="480"/>
        <w:rPr>
          <w:rFonts w:ascii="宋体" w:hAnsi="宋体" w:eastAsia="宋体" w:cs="宋体"/>
          <w:b w:val="0"/>
          <w:color w:val="000000"/>
          <w:sz w:val="24"/>
        </w:rPr>
      </w:pPr>
      <w:r>
        <w:rPr>
          <w:rFonts w:hint="eastAsia" w:ascii="宋体" w:hAnsi="宋体" w:eastAsia="宋体" w:cs="宋体"/>
          <w:b w:val="0"/>
          <w:color w:val="000000"/>
          <w:sz w:val="24"/>
        </w:rPr>
        <w:t>10.2 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14:paraId="6C2981A4">
      <w:pPr>
        <w:pStyle w:val="236"/>
        <w:spacing w:line="500" w:lineRule="exact"/>
        <w:ind w:firstLine="480"/>
        <w:rPr>
          <w:rFonts w:ascii="宋体" w:hAnsi="宋体" w:eastAsia="宋体" w:cs="宋体"/>
          <w:b w:val="0"/>
          <w:color w:val="000000"/>
          <w:sz w:val="24"/>
        </w:rPr>
      </w:pPr>
      <w:r>
        <w:rPr>
          <w:rFonts w:hint="eastAsia" w:ascii="宋体" w:hAnsi="宋体" w:eastAsia="宋体" w:cs="宋体"/>
          <w:b w:val="0"/>
          <w:color w:val="000000"/>
          <w:sz w:val="24"/>
        </w:rPr>
        <w:t>10.3 对于实际使用人和甲方分离的项目，甲方邀请实际使用人参与验收。</w:t>
      </w:r>
    </w:p>
    <w:p w14:paraId="0F5F5B5B">
      <w:pPr>
        <w:pStyle w:val="236"/>
        <w:spacing w:line="500" w:lineRule="exact"/>
        <w:ind w:firstLine="480"/>
        <w:rPr>
          <w:rFonts w:ascii="宋体" w:hAnsi="宋体" w:eastAsia="宋体" w:cs="宋体"/>
          <w:b w:val="0"/>
          <w:color w:val="000000"/>
          <w:sz w:val="24"/>
        </w:rPr>
      </w:pPr>
      <w:r>
        <w:rPr>
          <w:rFonts w:hint="eastAsia" w:ascii="宋体" w:hAnsi="宋体" w:eastAsia="宋体" w:cs="宋体"/>
          <w:b w:val="0"/>
          <w:color w:val="000000"/>
          <w:sz w:val="24"/>
        </w:rPr>
        <w:t>10.4 如有必要，甲方邀请参加本项目的其他投标人或第三方专业机构及专家参与验收，相关意见将作为验收书的参考资料。</w:t>
      </w:r>
    </w:p>
    <w:p w14:paraId="58405F64">
      <w:pPr>
        <w:pStyle w:val="236"/>
        <w:spacing w:line="500" w:lineRule="exact"/>
        <w:ind w:firstLine="480"/>
        <w:rPr>
          <w:rFonts w:ascii="宋体" w:hAnsi="宋体" w:eastAsia="宋体" w:cs="宋体"/>
          <w:b w:val="0"/>
          <w:color w:val="000000"/>
          <w:sz w:val="24"/>
        </w:rPr>
      </w:pPr>
      <w:r>
        <w:rPr>
          <w:rFonts w:hint="eastAsia" w:ascii="宋体" w:hAnsi="宋体" w:eastAsia="宋体" w:cs="宋体"/>
          <w:b w:val="0"/>
          <w:color w:val="000000"/>
          <w:sz w:val="24"/>
        </w:rPr>
        <w:t>10.5 甲方成立验收小组，按照采购合同的约定对乙方的履约情况进行验收。验收时，甲方按照采购合同的约定对每一项技术、服务、安全标准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14:paraId="3898550C">
      <w:pPr>
        <w:pStyle w:val="236"/>
        <w:spacing w:line="500" w:lineRule="exact"/>
        <w:ind w:firstLine="480"/>
        <w:rPr>
          <w:rFonts w:ascii="宋体" w:hAnsi="宋体" w:eastAsia="宋体" w:cs="宋体"/>
          <w:b w:val="0"/>
          <w:color w:val="000000"/>
          <w:sz w:val="24"/>
        </w:rPr>
      </w:pPr>
      <w:r>
        <w:rPr>
          <w:rFonts w:hint="eastAsia" w:ascii="宋体" w:hAnsi="宋体" w:eastAsia="宋体" w:cs="宋体"/>
          <w:b w:val="0"/>
          <w:color w:val="000000"/>
          <w:sz w:val="24"/>
        </w:rPr>
        <w:t>10.6 验收合格的项目，甲方根据采购合同的约定及时向乙方支付合同款项、退还履约保证金。验收不合格的项目，甲方依法及时处理。采购合同的履行、违约责任和解决争议的方式等适用《民法典》。乙方在履约过程中有政府采购法律法规规定的违法违规情形的，甲方将及时报告本级财政部门。</w:t>
      </w:r>
    </w:p>
    <w:p w14:paraId="47037F68">
      <w:pPr>
        <w:pStyle w:val="240"/>
        <w:spacing w:line="500" w:lineRule="exact"/>
        <w:ind w:firstLine="480" w:firstLineChars="200"/>
        <w:rPr>
          <w:rFonts w:ascii="宋体" w:hAnsi="宋体" w:cs="宋体"/>
        </w:rPr>
      </w:pPr>
      <w:r>
        <w:rPr>
          <w:rFonts w:hint="eastAsia" w:ascii="宋体" w:hAnsi="宋体" w:cs="宋体"/>
          <w:bCs/>
          <w:kern w:val="2"/>
          <w:sz w:val="24"/>
        </w:rPr>
        <w:t>10.7履约验收要求提供的资料有：验收申请书、中标（成交）通知书、合同、人员配备、相关实施方案、考核记录表等上述资料装订成册一式三份，带原件的供甲方留存。乙方还需出具验收申请，由甲方签字确认后组织验收。</w:t>
      </w:r>
    </w:p>
    <w:p w14:paraId="6C3B8EA6">
      <w:pPr>
        <w:pStyle w:val="28"/>
        <w:snapToGrid w:val="0"/>
        <w:spacing w:before="120" w:after="120"/>
        <w:rPr>
          <w:rFonts w:hAnsi="宋体" w:cs="宋体"/>
          <w:b/>
          <w:sz w:val="24"/>
        </w:rPr>
      </w:pPr>
      <w:r>
        <w:rPr>
          <w:rFonts w:hint="eastAsia" w:hAnsi="宋体" w:cs="宋体"/>
          <w:b/>
          <w:sz w:val="24"/>
        </w:rPr>
        <w:t>十一、违约责任</w:t>
      </w:r>
    </w:p>
    <w:p w14:paraId="43DC564A">
      <w:pPr>
        <w:pStyle w:val="28"/>
        <w:snapToGrid w:val="0"/>
        <w:spacing w:before="120" w:after="120" w:line="360" w:lineRule="auto"/>
        <w:ind w:left="410" w:hanging="410" w:hangingChars="171"/>
        <w:rPr>
          <w:rFonts w:hAnsi="宋体" w:cs="宋体"/>
          <w:color w:val="000000"/>
          <w:sz w:val="24"/>
        </w:rPr>
      </w:pPr>
      <w:r>
        <w:rPr>
          <w:rFonts w:hint="eastAsia" w:hAnsi="宋体" w:cs="宋体"/>
          <w:color w:val="000000"/>
          <w:sz w:val="24"/>
        </w:rPr>
        <w:t>11.1 甲方无正当理由拒绝接受乙方提供服务的，甲方向乙方偿付拒绝接受服务合同价款总值每日千分之六的违约金。</w:t>
      </w:r>
    </w:p>
    <w:p w14:paraId="76E72295">
      <w:pPr>
        <w:pStyle w:val="28"/>
        <w:snapToGrid w:val="0"/>
        <w:spacing w:before="120" w:after="120" w:line="360" w:lineRule="auto"/>
        <w:ind w:left="410" w:hanging="410" w:hangingChars="171"/>
        <w:rPr>
          <w:rFonts w:hAnsi="宋体" w:cs="宋体"/>
          <w:color w:val="000000"/>
          <w:sz w:val="24"/>
        </w:rPr>
      </w:pPr>
      <w:r>
        <w:rPr>
          <w:rFonts w:hint="eastAsia" w:hAnsi="宋体" w:cs="宋体"/>
          <w:color w:val="000000"/>
          <w:sz w:val="24"/>
        </w:rPr>
        <w:t>11.2 甲方无故逾期验收和办理合同款项支付手续的，甲方应按逾期付款总额千分之六每日向乙方支付违约金。</w:t>
      </w:r>
    </w:p>
    <w:p w14:paraId="1C2695D5">
      <w:pPr>
        <w:pStyle w:val="28"/>
        <w:snapToGrid w:val="0"/>
        <w:spacing w:before="120" w:after="120" w:line="360" w:lineRule="auto"/>
        <w:ind w:left="410" w:hanging="410" w:hangingChars="171"/>
        <w:rPr>
          <w:rFonts w:hAnsi="宋体" w:cs="宋体"/>
          <w:color w:val="000000"/>
          <w:sz w:val="24"/>
        </w:rPr>
      </w:pPr>
      <w:r>
        <w:rPr>
          <w:rFonts w:hint="eastAsia" w:hAnsi="宋体" w:cs="宋体"/>
          <w:color w:val="000000"/>
          <w:sz w:val="24"/>
        </w:rPr>
        <w:t xml:space="preserve">11.3 乙方逾期提供服务的，乙方应按逾期提供服务合同总额每日千分之六向甲方支付违约金，由甲方从待付合同款项中扣除。逾期超过约定日期10个工作日不能提供服务的，甲方可解除本合同。乙方因逾期提供服务或因其他违约行为导致甲方解除合同的，乙方应向甲方支付合同价款总额5 %的违约金，如造成甲方损失超过违约金的，超出部分由乙方继续承担赔偿责任。 </w:t>
      </w:r>
    </w:p>
    <w:p w14:paraId="0F4ECED8">
      <w:pPr>
        <w:pStyle w:val="28"/>
        <w:snapToGrid w:val="0"/>
        <w:spacing w:before="120" w:after="120" w:line="360" w:lineRule="auto"/>
        <w:ind w:left="410" w:hanging="410" w:hangingChars="171"/>
        <w:rPr>
          <w:rFonts w:hAnsi="宋体" w:cs="宋体"/>
          <w:color w:val="000000"/>
          <w:sz w:val="24"/>
        </w:rPr>
      </w:pPr>
      <w:r>
        <w:rPr>
          <w:rFonts w:hint="eastAsia" w:hAnsi="宋体" w:cs="宋体"/>
          <w:color w:val="000000"/>
          <w:sz w:val="24"/>
        </w:rPr>
        <w:t>11.4 乙方所提供服务的标准不符合合同规定及谈判文件规定标准的，甲方有权拒绝接受服务，并可单方面解除合同。</w:t>
      </w:r>
    </w:p>
    <w:p w14:paraId="5D61EC5D">
      <w:pPr>
        <w:pStyle w:val="28"/>
        <w:snapToGrid w:val="0"/>
        <w:spacing w:before="120" w:after="120" w:line="360" w:lineRule="auto"/>
        <w:rPr>
          <w:rFonts w:hAnsi="宋体" w:cs="宋体"/>
          <w:b/>
          <w:sz w:val="24"/>
        </w:rPr>
      </w:pPr>
      <w:r>
        <w:rPr>
          <w:rFonts w:hint="eastAsia" w:hAnsi="宋体" w:cs="宋体"/>
          <w:b/>
          <w:sz w:val="24"/>
        </w:rPr>
        <w:t>十二、不可抗力事件处理</w:t>
      </w:r>
    </w:p>
    <w:p w14:paraId="10B598F5">
      <w:pPr>
        <w:pStyle w:val="28"/>
        <w:snapToGrid w:val="0"/>
        <w:spacing w:before="120" w:after="120" w:line="360" w:lineRule="auto"/>
        <w:ind w:left="480" w:hanging="480" w:hangingChars="200"/>
        <w:rPr>
          <w:rFonts w:hAnsi="宋体" w:cs="宋体"/>
          <w:sz w:val="24"/>
        </w:rPr>
      </w:pPr>
      <w:r>
        <w:rPr>
          <w:rFonts w:hint="eastAsia" w:hAnsi="宋体" w:cs="宋体"/>
          <w:sz w:val="24"/>
        </w:rPr>
        <w:t>12.1 在合同有效期内，任何一方因不可抗力事件导致不能履行合同，则合同履行期可延长，其延长期与不可抗力影响</w:t>
      </w:r>
      <w:bookmarkStart w:id="129" w:name="_GoBack"/>
      <w:bookmarkEnd w:id="129"/>
      <w:r>
        <w:rPr>
          <w:rFonts w:hint="eastAsia" w:hAnsi="宋体" w:cs="宋体"/>
          <w:sz w:val="24"/>
        </w:rPr>
        <w:t>期相同。</w:t>
      </w:r>
    </w:p>
    <w:p w14:paraId="21B9BB6F">
      <w:pPr>
        <w:pStyle w:val="28"/>
        <w:snapToGrid w:val="0"/>
        <w:spacing w:before="120" w:after="120" w:line="360" w:lineRule="auto"/>
        <w:rPr>
          <w:rFonts w:hAnsi="宋体" w:cs="宋体"/>
          <w:sz w:val="24"/>
        </w:rPr>
      </w:pPr>
      <w:r>
        <w:rPr>
          <w:rFonts w:hint="eastAsia" w:hAnsi="宋体" w:cs="宋体"/>
          <w:sz w:val="24"/>
        </w:rPr>
        <w:t>12.2 不可抗力事件发生后，应立即通知对方，并寄送有关权威机构出具的证明。</w:t>
      </w:r>
    </w:p>
    <w:p w14:paraId="6D584F4A">
      <w:pPr>
        <w:pStyle w:val="28"/>
        <w:snapToGrid w:val="0"/>
        <w:spacing w:before="120" w:after="120" w:line="360" w:lineRule="auto"/>
        <w:rPr>
          <w:rFonts w:hAnsi="宋体" w:cs="宋体"/>
          <w:sz w:val="24"/>
        </w:rPr>
      </w:pPr>
      <w:r>
        <w:rPr>
          <w:rFonts w:hint="eastAsia" w:hAnsi="宋体" w:cs="宋体"/>
          <w:sz w:val="24"/>
        </w:rPr>
        <w:t>12.3 不可抗力事件延续120天以上，双方应通过友好协商，确定是否继续履行合同。</w:t>
      </w:r>
    </w:p>
    <w:p w14:paraId="6FE6AC09">
      <w:pPr>
        <w:pStyle w:val="28"/>
        <w:snapToGrid w:val="0"/>
        <w:spacing w:before="120" w:after="120" w:line="360" w:lineRule="auto"/>
        <w:rPr>
          <w:rFonts w:hAnsi="宋体" w:cs="宋体"/>
          <w:b/>
          <w:sz w:val="24"/>
        </w:rPr>
      </w:pPr>
      <w:r>
        <w:rPr>
          <w:rFonts w:hint="eastAsia" w:hAnsi="宋体" w:cs="宋体"/>
          <w:b/>
          <w:sz w:val="24"/>
        </w:rPr>
        <w:t>十三、解决争议的方法</w:t>
      </w:r>
    </w:p>
    <w:p w14:paraId="7F62D3AC">
      <w:pPr>
        <w:pStyle w:val="28"/>
        <w:snapToGrid w:val="0"/>
        <w:spacing w:before="120" w:after="120" w:line="360" w:lineRule="auto"/>
        <w:rPr>
          <w:rFonts w:hAnsi="宋体" w:cs="宋体"/>
          <w:sz w:val="24"/>
        </w:rPr>
      </w:pPr>
      <w:r>
        <w:rPr>
          <w:rFonts w:hint="eastAsia" w:hAnsi="宋体" w:cs="宋体"/>
          <w:sz w:val="24"/>
        </w:rPr>
        <w:t>13.1双方在签订、履行合同中所发生的一切争议，应通过友好协商解决。如协商不成，由甲方住所地人民法院管辖。</w:t>
      </w:r>
    </w:p>
    <w:p w14:paraId="0D5F57D0">
      <w:pPr>
        <w:pStyle w:val="28"/>
        <w:snapToGrid w:val="0"/>
        <w:spacing w:before="120" w:after="120" w:line="360" w:lineRule="auto"/>
        <w:rPr>
          <w:rFonts w:hAnsi="宋体" w:cs="宋体"/>
          <w:b/>
          <w:sz w:val="24"/>
        </w:rPr>
      </w:pPr>
      <w:r>
        <w:rPr>
          <w:rFonts w:hint="eastAsia" w:hAnsi="宋体" w:cs="宋体"/>
          <w:b/>
          <w:sz w:val="24"/>
        </w:rPr>
        <w:t>十四、合同生效及其他</w:t>
      </w:r>
    </w:p>
    <w:p w14:paraId="1DB87073">
      <w:pPr>
        <w:pStyle w:val="238"/>
        <w:spacing w:line="360" w:lineRule="auto"/>
        <w:rPr>
          <w:rFonts w:hAnsi="宋体" w:cs="宋体"/>
          <w:color w:val="000000"/>
          <w:sz w:val="24"/>
          <w:szCs w:val="24"/>
        </w:rPr>
      </w:pPr>
      <w:r>
        <w:rPr>
          <w:rFonts w:hint="eastAsia" w:hAnsi="宋体" w:cs="宋体"/>
          <w:sz w:val="24"/>
          <w:szCs w:val="24"/>
        </w:rPr>
        <w:t>14.1 合同经双方法定代表人或授权委托代表人签字并加盖单位公章后生效。</w:t>
      </w:r>
      <w:r>
        <w:rPr>
          <w:rFonts w:hint="eastAsia" w:hAnsi="宋体" w:cs="宋体"/>
          <w:color w:val="000000"/>
          <w:sz w:val="24"/>
          <w:szCs w:val="24"/>
        </w:rPr>
        <w:t>合同主要条款要求与专项条款要求具有同等效力。</w:t>
      </w:r>
    </w:p>
    <w:p w14:paraId="47BEB3DC">
      <w:pPr>
        <w:pStyle w:val="239"/>
        <w:tabs>
          <w:tab w:val="left" w:pos="600"/>
        </w:tabs>
        <w:spacing w:line="360" w:lineRule="auto"/>
        <w:ind w:firstLine="470"/>
        <w:rPr>
          <w:rStyle w:val="186"/>
          <w:rFonts w:ascii="宋体" w:hAnsi="宋体" w:eastAsia="宋体" w:cs="宋体"/>
          <w:color w:val="000000"/>
          <w:sz w:val="24"/>
          <w:szCs w:val="24"/>
        </w:rPr>
      </w:pPr>
      <w:r>
        <w:rPr>
          <w:rStyle w:val="186"/>
          <w:rFonts w:hint="eastAsia" w:ascii="宋体" w:hAnsi="宋体" w:eastAsia="宋体" w:cs="宋体"/>
          <w:color w:val="000000"/>
          <w:sz w:val="24"/>
          <w:szCs w:val="24"/>
        </w:rPr>
        <w:t>下列文件为本合同组成不可分割部分：</w:t>
      </w:r>
    </w:p>
    <w:p w14:paraId="7A06CEB8">
      <w:pPr>
        <w:pStyle w:val="239"/>
        <w:tabs>
          <w:tab w:val="left" w:pos="600"/>
        </w:tabs>
        <w:spacing w:line="360" w:lineRule="auto"/>
        <w:ind w:firstLine="470"/>
        <w:rPr>
          <w:rStyle w:val="186"/>
          <w:rFonts w:ascii="宋体" w:hAnsi="宋体" w:eastAsia="宋体" w:cs="宋体"/>
          <w:color w:val="000000"/>
          <w:sz w:val="24"/>
          <w:szCs w:val="24"/>
        </w:rPr>
      </w:pPr>
      <w:r>
        <w:rPr>
          <w:rStyle w:val="186"/>
          <w:rFonts w:hint="eastAsia" w:ascii="宋体" w:hAnsi="宋体" w:eastAsia="宋体" w:cs="宋体"/>
          <w:color w:val="000000"/>
          <w:sz w:val="24"/>
          <w:szCs w:val="24"/>
        </w:rPr>
        <w:t>① 中标通知书；</w:t>
      </w:r>
    </w:p>
    <w:p w14:paraId="723553D7">
      <w:pPr>
        <w:pStyle w:val="239"/>
        <w:tabs>
          <w:tab w:val="left" w:pos="600"/>
        </w:tabs>
        <w:spacing w:line="360" w:lineRule="auto"/>
        <w:ind w:firstLine="470"/>
        <w:rPr>
          <w:rStyle w:val="186"/>
          <w:rFonts w:ascii="宋体" w:hAnsi="宋体" w:eastAsia="宋体" w:cs="宋体"/>
          <w:color w:val="000000"/>
          <w:sz w:val="24"/>
          <w:szCs w:val="24"/>
        </w:rPr>
      </w:pPr>
      <w:r>
        <w:rPr>
          <w:rStyle w:val="186"/>
          <w:rFonts w:hint="eastAsia" w:ascii="宋体" w:hAnsi="宋体" w:eastAsia="宋体" w:cs="宋体"/>
          <w:color w:val="000000"/>
          <w:sz w:val="24"/>
          <w:szCs w:val="24"/>
        </w:rPr>
        <w:t>② 乙方的投标文件；</w:t>
      </w:r>
    </w:p>
    <w:p w14:paraId="02DE47A2">
      <w:pPr>
        <w:pStyle w:val="239"/>
        <w:tabs>
          <w:tab w:val="left" w:pos="600"/>
        </w:tabs>
        <w:spacing w:line="360" w:lineRule="auto"/>
        <w:ind w:firstLine="470"/>
        <w:rPr>
          <w:rStyle w:val="186"/>
          <w:rFonts w:ascii="宋体" w:hAnsi="宋体" w:eastAsia="宋体" w:cs="宋体"/>
          <w:color w:val="000000"/>
          <w:sz w:val="24"/>
          <w:szCs w:val="24"/>
        </w:rPr>
      </w:pPr>
      <w:r>
        <w:rPr>
          <w:rStyle w:val="186"/>
          <w:rFonts w:hint="eastAsia" w:ascii="宋体" w:hAnsi="宋体" w:eastAsia="宋体" w:cs="宋体"/>
          <w:color w:val="000000"/>
          <w:sz w:val="24"/>
          <w:szCs w:val="24"/>
        </w:rPr>
        <w:t>③ 乙方在招投标过程中所作的其他承诺、声明、书面澄清等；</w:t>
      </w:r>
    </w:p>
    <w:p w14:paraId="246ED451">
      <w:pPr>
        <w:pStyle w:val="239"/>
        <w:tabs>
          <w:tab w:val="left" w:pos="600"/>
        </w:tabs>
        <w:spacing w:line="360" w:lineRule="auto"/>
        <w:ind w:firstLine="470"/>
        <w:rPr>
          <w:rStyle w:val="186"/>
          <w:rFonts w:ascii="宋体" w:hAnsi="宋体" w:eastAsia="宋体" w:cs="宋体"/>
          <w:color w:val="000000"/>
          <w:sz w:val="24"/>
          <w:szCs w:val="24"/>
        </w:rPr>
      </w:pPr>
      <w:r>
        <w:rPr>
          <w:rStyle w:val="186"/>
          <w:rFonts w:hint="eastAsia" w:ascii="宋体" w:hAnsi="宋体" w:eastAsia="宋体" w:cs="宋体"/>
          <w:color w:val="000000"/>
          <w:sz w:val="24"/>
          <w:szCs w:val="24"/>
        </w:rPr>
        <w:t>④ 谈判文件及其附件；</w:t>
      </w:r>
    </w:p>
    <w:p w14:paraId="4AD3DF53">
      <w:pPr>
        <w:pStyle w:val="239"/>
        <w:tabs>
          <w:tab w:val="left" w:pos="600"/>
        </w:tabs>
        <w:spacing w:line="360" w:lineRule="auto"/>
        <w:ind w:firstLine="470"/>
        <w:rPr>
          <w:rStyle w:val="186"/>
          <w:rFonts w:ascii="宋体" w:hAnsi="宋体" w:eastAsia="宋体" w:cs="宋体"/>
          <w:color w:val="000000"/>
          <w:sz w:val="24"/>
          <w:szCs w:val="24"/>
        </w:rPr>
      </w:pPr>
      <w:r>
        <w:rPr>
          <w:rStyle w:val="186"/>
          <w:rFonts w:hint="eastAsia" w:ascii="宋体" w:hAnsi="宋体" w:eastAsia="宋体" w:cs="宋体"/>
          <w:color w:val="000000"/>
          <w:sz w:val="24"/>
          <w:szCs w:val="24"/>
        </w:rPr>
        <w:t>⑤ 本合同及相关附件；</w:t>
      </w:r>
    </w:p>
    <w:p w14:paraId="3D2B50F7">
      <w:pPr>
        <w:pStyle w:val="239"/>
        <w:tabs>
          <w:tab w:val="left" w:pos="600"/>
        </w:tabs>
        <w:spacing w:line="360" w:lineRule="auto"/>
        <w:ind w:firstLine="470"/>
        <w:rPr>
          <w:rFonts w:ascii="宋体" w:hAnsi="宋体" w:eastAsia="宋体" w:cs="宋体"/>
          <w:sz w:val="24"/>
          <w:szCs w:val="24"/>
        </w:rPr>
      </w:pPr>
      <w:r>
        <w:rPr>
          <w:rStyle w:val="186"/>
          <w:rFonts w:hint="eastAsia" w:ascii="宋体" w:hAnsi="宋体" w:eastAsia="宋体" w:cs="宋体"/>
          <w:color w:val="000000"/>
          <w:sz w:val="24"/>
          <w:szCs w:val="24"/>
        </w:rPr>
        <w:t>以上与本合同具有同等法律效力。</w:t>
      </w:r>
    </w:p>
    <w:p w14:paraId="41CDD717">
      <w:pPr>
        <w:pStyle w:val="28"/>
        <w:snapToGrid w:val="0"/>
        <w:spacing w:before="120" w:after="120" w:line="360" w:lineRule="auto"/>
        <w:rPr>
          <w:rFonts w:hAnsi="宋体" w:cs="宋体"/>
          <w:sz w:val="24"/>
        </w:rPr>
      </w:pPr>
      <w:r>
        <w:rPr>
          <w:rFonts w:hint="eastAsia" w:hAnsi="宋体" w:cs="宋体"/>
          <w:sz w:val="24"/>
        </w:rPr>
        <w:t>14.2本合同未尽事宜，遵照《民法典》《政府采购法》有关条文执行。</w:t>
      </w:r>
    </w:p>
    <w:p w14:paraId="10C17283">
      <w:pPr>
        <w:pStyle w:val="28"/>
        <w:snapToGrid w:val="0"/>
        <w:spacing w:before="120" w:after="120" w:line="360" w:lineRule="auto"/>
        <w:ind w:left="480" w:hanging="480" w:hangingChars="200"/>
        <w:rPr>
          <w:rFonts w:hAnsi="宋体" w:cs="宋体"/>
          <w:sz w:val="24"/>
        </w:rPr>
      </w:pPr>
      <w:r>
        <w:rPr>
          <w:rFonts w:hint="eastAsia" w:hAnsi="宋体" w:cs="宋体"/>
          <w:sz w:val="24"/>
        </w:rPr>
        <w:t>14.3 本合同正本一式四份，具有同等法律效力，甲方二份、乙方和代理机构各执一份。</w:t>
      </w:r>
    </w:p>
    <w:p w14:paraId="6852C74E">
      <w:pPr>
        <w:pStyle w:val="28"/>
        <w:snapToGrid w:val="0"/>
        <w:spacing w:before="120" w:after="120" w:line="360" w:lineRule="auto"/>
        <w:ind w:left="480" w:hanging="480" w:hangingChars="200"/>
        <w:rPr>
          <w:rFonts w:hAnsi="宋体" w:cs="宋体"/>
          <w:sz w:val="24"/>
        </w:rPr>
      </w:pPr>
      <w:r>
        <w:rPr>
          <w:rFonts w:hint="eastAsia" w:hAnsi="宋体" w:cs="宋体"/>
          <w:sz w:val="24"/>
        </w:rPr>
        <w:t xml:space="preserve">  甲方：                        乙方： </w:t>
      </w:r>
    </w:p>
    <w:p w14:paraId="4AB4F29F">
      <w:pPr>
        <w:pStyle w:val="28"/>
        <w:snapToGrid w:val="0"/>
        <w:spacing w:before="120" w:after="120" w:line="360" w:lineRule="auto"/>
        <w:rPr>
          <w:rFonts w:hAnsi="宋体" w:cs="宋体"/>
          <w:sz w:val="24"/>
        </w:rPr>
      </w:pPr>
      <w:r>
        <w:rPr>
          <w:rFonts w:hint="eastAsia" w:hAnsi="宋体" w:cs="宋体"/>
          <w:sz w:val="24"/>
        </w:rPr>
        <w:t xml:space="preserve">  地址：                        地址： </w:t>
      </w:r>
    </w:p>
    <w:p w14:paraId="1ACC9E32">
      <w:pPr>
        <w:pStyle w:val="28"/>
        <w:snapToGrid w:val="0"/>
        <w:spacing w:before="120" w:after="120" w:line="360" w:lineRule="auto"/>
        <w:rPr>
          <w:rFonts w:hAnsi="宋体" w:cs="宋体"/>
          <w:sz w:val="24"/>
        </w:rPr>
      </w:pPr>
      <w:r>
        <w:rPr>
          <w:rFonts w:hint="eastAsia" w:hAnsi="宋体" w:cs="宋体"/>
          <w:sz w:val="24"/>
        </w:rPr>
        <w:t xml:space="preserve">  法定代表人或授权代表：        法定代表人或授权代表：</w:t>
      </w:r>
    </w:p>
    <w:p w14:paraId="36DDB53D">
      <w:pPr>
        <w:pStyle w:val="28"/>
        <w:snapToGrid w:val="0"/>
        <w:spacing w:before="120" w:after="120" w:line="360" w:lineRule="auto"/>
        <w:ind w:firstLine="240" w:firstLineChars="100"/>
        <w:rPr>
          <w:rFonts w:hAnsi="宋体" w:cs="宋体"/>
        </w:rPr>
      </w:pPr>
      <w:r>
        <w:rPr>
          <w:rFonts w:hint="eastAsia" w:hAnsi="宋体" w:cs="宋体"/>
          <w:sz w:val="24"/>
        </w:rPr>
        <w:t xml:space="preserve">联系电话：                    联系电话：          </w:t>
      </w:r>
    </w:p>
    <w:p w14:paraId="727EAD2A">
      <w:pPr>
        <w:pStyle w:val="28"/>
        <w:snapToGrid w:val="0"/>
        <w:spacing w:before="120" w:after="120" w:line="360" w:lineRule="auto"/>
        <w:rPr>
          <w:rFonts w:hAnsi="宋体" w:cs="宋体"/>
          <w:sz w:val="24"/>
        </w:rPr>
      </w:pPr>
      <w:r>
        <w:rPr>
          <w:rFonts w:hint="eastAsia" w:hAnsi="宋体" w:cs="宋体"/>
          <w:sz w:val="24"/>
        </w:rPr>
        <w:t>签订日期：年  月   日          签订日期：年  月   日</w:t>
      </w:r>
    </w:p>
    <w:p w14:paraId="75191E3C">
      <w:pPr>
        <w:rPr>
          <w:rFonts w:ascii="宋体" w:hAnsi="宋体" w:cs="宋体"/>
          <w:highlight w:val="white"/>
        </w:rPr>
      </w:pPr>
    </w:p>
    <w:p w14:paraId="13AA8725">
      <w:pPr>
        <w:ind w:firstLine="840" w:firstLineChars="400"/>
        <w:rPr>
          <w:rFonts w:ascii="宋体" w:hAnsi="宋体" w:cs="宋体"/>
          <w:highlight w:val="white"/>
        </w:rPr>
      </w:pPr>
    </w:p>
    <w:p w14:paraId="4967CB5A">
      <w:pPr>
        <w:ind w:firstLine="840" w:firstLineChars="400"/>
        <w:rPr>
          <w:rFonts w:ascii="宋体" w:hAnsi="宋体" w:cs="宋体"/>
          <w:highlight w:val="white"/>
        </w:rPr>
      </w:pPr>
    </w:p>
    <w:p w14:paraId="14E259CC">
      <w:pPr>
        <w:ind w:firstLine="840" w:firstLineChars="400"/>
        <w:rPr>
          <w:rFonts w:ascii="宋体" w:hAnsi="宋体" w:cs="宋体"/>
          <w:highlight w:val="white"/>
        </w:rPr>
      </w:pPr>
    </w:p>
    <w:p w14:paraId="511E404A">
      <w:pPr>
        <w:ind w:firstLine="840" w:firstLineChars="400"/>
        <w:rPr>
          <w:rFonts w:ascii="宋体" w:hAnsi="宋体" w:cs="宋体"/>
          <w:highlight w:val="white"/>
        </w:rPr>
      </w:pPr>
    </w:p>
    <w:p w14:paraId="477ACF5E">
      <w:pPr>
        <w:ind w:firstLine="840" w:firstLineChars="400"/>
        <w:rPr>
          <w:rFonts w:ascii="宋体" w:hAnsi="宋体" w:cs="宋体"/>
          <w:highlight w:val="white"/>
        </w:rPr>
      </w:pPr>
    </w:p>
    <w:p w14:paraId="312A9943">
      <w:pPr>
        <w:ind w:firstLine="840" w:firstLineChars="400"/>
        <w:rPr>
          <w:rFonts w:ascii="宋体" w:hAnsi="宋体" w:cs="宋体"/>
          <w:highlight w:val="white"/>
        </w:rPr>
      </w:pPr>
    </w:p>
    <w:p w14:paraId="098D2EF3">
      <w:pPr>
        <w:ind w:firstLine="840" w:firstLineChars="400"/>
        <w:rPr>
          <w:rFonts w:ascii="宋体" w:hAnsi="宋体" w:cs="宋体"/>
          <w:highlight w:val="white"/>
        </w:rPr>
      </w:pPr>
    </w:p>
    <w:p w14:paraId="562961BD">
      <w:pPr>
        <w:ind w:firstLine="840" w:firstLineChars="400"/>
        <w:rPr>
          <w:rFonts w:ascii="宋体" w:hAnsi="宋体" w:cs="宋体"/>
          <w:highlight w:val="white"/>
        </w:rPr>
      </w:pPr>
    </w:p>
    <w:p w14:paraId="27020D52">
      <w:pPr>
        <w:ind w:firstLine="840" w:firstLineChars="400"/>
        <w:rPr>
          <w:rFonts w:ascii="宋体" w:hAnsi="宋体" w:cs="宋体"/>
          <w:highlight w:val="white"/>
        </w:rPr>
      </w:pPr>
    </w:p>
    <w:p w14:paraId="04468E54">
      <w:pPr>
        <w:ind w:firstLine="840" w:firstLineChars="400"/>
        <w:rPr>
          <w:rFonts w:ascii="宋体" w:hAnsi="宋体" w:cs="宋体"/>
          <w:highlight w:val="white"/>
        </w:rPr>
      </w:pPr>
    </w:p>
    <w:p w14:paraId="1AD82967">
      <w:pPr>
        <w:ind w:firstLine="840" w:firstLineChars="400"/>
        <w:rPr>
          <w:rFonts w:ascii="宋体" w:hAnsi="宋体" w:cs="宋体"/>
          <w:highlight w:val="white"/>
        </w:rPr>
      </w:pPr>
    </w:p>
    <w:p w14:paraId="630EC6C0">
      <w:pPr>
        <w:ind w:firstLine="840" w:firstLineChars="400"/>
        <w:rPr>
          <w:rFonts w:ascii="宋体" w:hAnsi="宋体" w:cs="宋体"/>
          <w:highlight w:val="white"/>
        </w:rPr>
      </w:pPr>
    </w:p>
    <w:p w14:paraId="101C6619">
      <w:pPr>
        <w:ind w:firstLine="840" w:firstLineChars="400"/>
        <w:rPr>
          <w:rFonts w:ascii="宋体" w:hAnsi="宋体" w:cs="宋体"/>
          <w:highlight w:val="white"/>
        </w:rPr>
      </w:pPr>
    </w:p>
    <w:p w14:paraId="1B5F2011">
      <w:pPr>
        <w:ind w:firstLine="840" w:firstLineChars="400"/>
        <w:rPr>
          <w:rFonts w:ascii="宋体" w:hAnsi="宋体" w:cs="宋体"/>
          <w:highlight w:val="white"/>
        </w:rPr>
      </w:pPr>
    </w:p>
    <w:p w14:paraId="4FD1E7DE">
      <w:pPr>
        <w:ind w:firstLine="840" w:firstLineChars="400"/>
        <w:rPr>
          <w:rFonts w:ascii="宋体" w:hAnsi="宋体" w:cs="宋体"/>
          <w:highlight w:val="white"/>
        </w:rPr>
      </w:pPr>
    </w:p>
    <w:p w14:paraId="5106C290">
      <w:pPr>
        <w:ind w:firstLine="840" w:firstLineChars="400"/>
        <w:rPr>
          <w:rFonts w:ascii="宋体" w:hAnsi="宋体" w:cs="宋体"/>
          <w:highlight w:val="white"/>
        </w:rPr>
      </w:pPr>
    </w:p>
    <w:p w14:paraId="6D00AB5F">
      <w:pPr>
        <w:ind w:firstLine="840" w:firstLineChars="400"/>
        <w:rPr>
          <w:rFonts w:ascii="宋体" w:hAnsi="宋体" w:cs="宋体"/>
          <w:highlight w:val="white"/>
        </w:rPr>
      </w:pPr>
    </w:p>
    <w:p w14:paraId="2586E694">
      <w:pPr>
        <w:ind w:firstLine="840" w:firstLineChars="400"/>
        <w:rPr>
          <w:rFonts w:ascii="宋体" w:hAnsi="宋体" w:cs="宋体"/>
          <w:highlight w:val="white"/>
        </w:rPr>
      </w:pPr>
    </w:p>
    <w:p w14:paraId="4E2B0052">
      <w:pPr>
        <w:ind w:firstLine="840" w:firstLineChars="400"/>
        <w:rPr>
          <w:rFonts w:ascii="宋体" w:hAnsi="宋体" w:cs="宋体"/>
          <w:highlight w:val="white"/>
        </w:rPr>
      </w:pPr>
    </w:p>
    <w:p w14:paraId="50E1DF21">
      <w:pPr>
        <w:ind w:firstLine="840" w:firstLineChars="400"/>
        <w:rPr>
          <w:rFonts w:ascii="宋体" w:hAnsi="宋体" w:cs="宋体"/>
          <w:highlight w:val="white"/>
        </w:rPr>
      </w:pPr>
    </w:p>
    <w:p w14:paraId="393087A5">
      <w:pPr>
        <w:ind w:firstLine="840" w:firstLineChars="400"/>
        <w:rPr>
          <w:rFonts w:ascii="宋体" w:hAnsi="宋体" w:cs="宋体"/>
          <w:highlight w:val="white"/>
        </w:rPr>
      </w:pPr>
    </w:p>
    <w:p w14:paraId="7E401DA5">
      <w:pPr>
        <w:ind w:firstLine="840" w:firstLineChars="400"/>
        <w:rPr>
          <w:rFonts w:ascii="宋体" w:hAnsi="宋体" w:cs="宋体"/>
          <w:highlight w:val="white"/>
        </w:rPr>
      </w:pPr>
    </w:p>
    <w:p w14:paraId="2A7050C6">
      <w:pPr>
        <w:ind w:firstLine="840" w:firstLineChars="400"/>
        <w:rPr>
          <w:rFonts w:ascii="宋体" w:hAnsi="宋体" w:cs="宋体"/>
          <w:highlight w:val="white"/>
        </w:rPr>
      </w:pPr>
    </w:p>
    <w:p w14:paraId="33749C73">
      <w:pPr>
        <w:ind w:firstLine="840" w:firstLineChars="400"/>
        <w:rPr>
          <w:rFonts w:ascii="宋体" w:hAnsi="宋体" w:cs="宋体"/>
          <w:highlight w:val="white"/>
        </w:rPr>
      </w:pPr>
    </w:p>
    <w:p w14:paraId="4E4C57AC">
      <w:pPr>
        <w:ind w:firstLine="840" w:firstLineChars="400"/>
        <w:rPr>
          <w:rFonts w:ascii="宋体" w:hAnsi="宋体" w:cs="宋体"/>
          <w:highlight w:val="white"/>
        </w:rPr>
      </w:pPr>
    </w:p>
    <w:p w14:paraId="74FB1A94">
      <w:pPr>
        <w:ind w:firstLine="840" w:firstLineChars="400"/>
        <w:rPr>
          <w:rFonts w:ascii="宋体" w:hAnsi="宋体" w:cs="宋体"/>
          <w:highlight w:val="white"/>
        </w:rPr>
      </w:pPr>
    </w:p>
    <w:p w14:paraId="4E321F2C">
      <w:pPr>
        <w:ind w:firstLine="840" w:firstLineChars="400"/>
        <w:rPr>
          <w:rFonts w:ascii="宋体" w:hAnsi="宋体" w:cs="宋体"/>
          <w:highlight w:val="white"/>
        </w:rPr>
      </w:pPr>
    </w:p>
    <w:p w14:paraId="5B6532A4">
      <w:pPr>
        <w:ind w:firstLine="840" w:firstLineChars="400"/>
        <w:rPr>
          <w:rFonts w:ascii="宋体" w:hAnsi="宋体" w:cs="宋体"/>
          <w:highlight w:val="white"/>
        </w:rPr>
      </w:pPr>
    </w:p>
    <w:p w14:paraId="4FAB8E3A">
      <w:pPr>
        <w:ind w:firstLine="840" w:firstLineChars="400"/>
        <w:rPr>
          <w:rFonts w:ascii="宋体" w:hAnsi="宋体" w:cs="宋体"/>
          <w:highlight w:val="white"/>
        </w:rPr>
      </w:pPr>
    </w:p>
    <w:p w14:paraId="5FA9C9FF">
      <w:pPr>
        <w:ind w:firstLine="840" w:firstLineChars="400"/>
        <w:rPr>
          <w:rFonts w:ascii="宋体" w:hAnsi="宋体" w:cs="宋体"/>
          <w:highlight w:val="white"/>
        </w:rPr>
      </w:pPr>
    </w:p>
    <w:p w14:paraId="0FB7328D">
      <w:pPr>
        <w:pStyle w:val="2"/>
        <w:ind w:firstLine="1767" w:firstLineChars="400"/>
        <w:rPr>
          <w:rFonts w:ascii="宋体" w:hAnsi="宋体" w:cs="宋体"/>
        </w:rPr>
      </w:pPr>
      <w:bookmarkStart w:id="81" w:name="_Toc18532"/>
      <w:r>
        <w:rPr>
          <w:rFonts w:hint="eastAsia" w:ascii="宋体" w:hAnsi="宋体" w:cs="宋体"/>
          <w:highlight w:val="white"/>
        </w:rPr>
        <w:t>第六部分  响应文件格式</w:t>
      </w:r>
      <w:bookmarkEnd w:id="68"/>
      <w:bookmarkEnd w:id="81"/>
    </w:p>
    <w:p w14:paraId="021B08D1">
      <w:pPr>
        <w:rPr>
          <w:rFonts w:ascii="宋体" w:hAnsi="宋体" w:cs="宋体"/>
          <w:highlight w:val="red"/>
        </w:rPr>
      </w:pPr>
      <w:bookmarkStart w:id="82" w:name="EB3827dedcd9dd4c1d8a9b7196a5dd847c"/>
    </w:p>
    <w:p w14:paraId="622DF93D">
      <w:pPr>
        <w:pStyle w:val="96"/>
        <w:rPr>
          <w:rFonts w:ascii="宋体" w:hAnsi="宋体" w:eastAsia="宋体" w:cs="宋体"/>
        </w:rPr>
      </w:pPr>
      <w:bookmarkStart w:id="83" w:name="_Toc20900"/>
      <w:r>
        <w:rPr>
          <w:rFonts w:hint="eastAsia" w:ascii="宋体" w:hAnsi="宋体" w:eastAsia="宋体" w:cs="宋体"/>
        </w:rPr>
        <w:t>封面</w:t>
      </w:r>
      <w:bookmarkEnd w:id="83"/>
    </w:p>
    <w:p w14:paraId="18BF85A9">
      <w:pPr>
        <w:pStyle w:val="97"/>
        <w:autoSpaceDE w:val="0"/>
        <w:autoSpaceDN w:val="0"/>
        <w:adjustRightInd w:val="0"/>
        <w:jc w:val="center"/>
        <w:rPr>
          <w:rFonts w:ascii="宋体" w:hAnsi="宋体" w:cs="宋体"/>
          <w:color w:val="000000"/>
          <w:kern w:val="0"/>
          <w:sz w:val="32"/>
          <w:szCs w:val="32"/>
        </w:rPr>
      </w:pPr>
    </w:p>
    <w:p w14:paraId="06776F7A">
      <w:pPr>
        <w:pStyle w:val="97"/>
        <w:autoSpaceDE w:val="0"/>
        <w:autoSpaceDN w:val="0"/>
        <w:adjustRightInd w:val="0"/>
        <w:jc w:val="center"/>
        <w:rPr>
          <w:rFonts w:ascii="宋体" w:hAnsi="宋体" w:cs="宋体"/>
          <w:color w:val="000000"/>
          <w:kern w:val="0"/>
          <w:sz w:val="44"/>
          <w:szCs w:val="44"/>
          <w:u w:val="single"/>
        </w:rPr>
      </w:pPr>
      <w:r>
        <w:rPr>
          <w:rFonts w:hint="eastAsia" w:ascii="宋体" w:hAnsi="宋体" w:cs="宋体"/>
          <w:color w:val="000000"/>
          <w:kern w:val="0"/>
          <w:sz w:val="44"/>
          <w:szCs w:val="44"/>
          <w:u w:val="single"/>
        </w:rPr>
        <w:t>（项目名称）</w:t>
      </w:r>
    </w:p>
    <w:p w14:paraId="2EFC4EF3">
      <w:pPr>
        <w:pStyle w:val="97"/>
        <w:autoSpaceDE w:val="0"/>
        <w:autoSpaceDN w:val="0"/>
        <w:adjustRightInd w:val="0"/>
        <w:jc w:val="center"/>
        <w:rPr>
          <w:rFonts w:ascii="宋体" w:hAnsi="宋体" w:cs="宋体"/>
          <w:color w:val="000000"/>
          <w:kern w:val="0"/>
          <w:sz w:val="52"/>
          <w:szCs w:val="52"/>
        </w:rPr>
      </w:pPr>
    </w:p>
    <w:p w14:paraId="206D7986">
      <w:pPr>
        <w:pStyle w:val="97"/>
        <w:autoSpaceDE w:val="0"/>
        <w:autoSpaceDN w:val="0"/>
        <w:adjustRightInd w:val="0"/>
        <w:jc w:val="center"/>
        <w:rPr>
          <w:rFonts w:ascii="宋体" w:hAnsi="宋体" w:cs="宋体"/>
          <w:color w:val="000000"/>
          <w:kern w:val="0"/>
          <w:sz w:val="72"/>
          <w:szCs w:val="72"/>
        </w:rPr>
      </w:pPr>
      <w:r>
        <w:rPr>
          <w:rFonts w:hint="eastAsia" w:ascii="宋体" w:hAnsi="宋体" w:cs="宋体"/>
          <w:color w:val="000000"/>
          <w:kern w:val="0"/>
          <w:sz w:val="72"/>
          <w:szCs w:val="72"/>
        </w:rPr>
        <w:t>响 应 文 件</w:t>
      </w:r>
    </w:p>
    <w:p w14:paraId="22DBDAD4">
      <w:pPr>
        <w:pStyle w:val="97"/>
        <w:autoSpaceDE w:val="0"/>
        <w:autoSpaceDN w:val="0"/>
        <w:adjustRightInd w:val="0"/>
        <w:jc w:val="left"/>
        <w:rPr>
          <w:rFonts w:ascii="宋体" w:hAnsi="宋体" w:cs="宋体"/>
          <w:color w:val="000000"/>
          <w:kern w:val="0"/>
          <w:sz w:val="28"/>
          <w:szCs w:val="28"/>
        </w:rPr>
      </w:pPr>
    </w:p>
    <w:p w14:paraId="6766C5FD">
      <w:pPr>
        <w:pStyle w:val="97"/>
        <w:autoSpaceDE w:val="0"/>
        <w:autoSpaceDN w:val="0"/>
        <w:adjustRightInd w:val="0"/>
        <w:jc w:val="left"/>
        <w:rPr>
          <w:rFonts w:ascii="宋体" w:hAnsi="宋体" w:cs="宋体"/>
          <w:color w:val="000000"/>
          <w:kern w:val="0"/>
          <w:sz w:val="28"/>
          <w:szCs w:val="28"/>
        </w:rPr>
      </w:pPr>
    </w:p>
    <w:p w14:paraId="6CC665FB">
      <w:pPr>
        <w:pStyle w:val="97"/>
        <w:autoSpaceDE w:val="0"/>
        <w:autoSpaceDN w:val="0"/>
        <w:adjustRightInd w:val="0"/>
        <w:jc w:val="left"/>
        <w:rPr>
          <w:rFonts w:ascii="宋体" w:hAnsi="宋体" w:cs="宋体"/>
          <w:color w:val="000000"/>
          <w:kern w:val="0"/>
          <w:sz w:val="28"/>
          <w:szCs w:val="28"/>
        </w:rPr>
      </w:pPr>
    </w:p>
    <w:p w14:paraId="12433DAE">
      <w:pPr>
        <w:pStyle w:val="97"/>
        <w:autoSpaceDE w:val="0"/>
        <w:autoSpaceDN w:val="0"/>
        <w:adjustRightInd w:val="0"/>
        <w:jc w:val="left"/>
        <w:rPr>
          <w:rFonts w:ascii="宋体" w:hAnsi="宋体" w:cs="宋体"/>
          <w:color w:val="000000"/>
          <w:kern w:val="0"/>
          <w:sz w:val="28"/>
          <w:szCs w:val="28"/>
        </w:rPr>
      </w:pPr>
    </w:p>
    <w:p w14:paraId="38A1FA7A">
      <w:pPr>
        <w:pStyle w:val="97"/>
        <w:autoSpaceDE w:val="0"/>
        <w:autoSpaceDN w:val="0"/>
        <w:adjustRightInd w:val="0"/>
        <w:jc w:val="left"/>
        <w:rPr>
          <w:rFonts w:ascii="宋体" w:hAnsi="宋体" w:cs="宋体"/>
          <w:color w:val="000000"/>
          <w:kern w:val="0"/>
          <w:sz w:val="28"/>
          <w:szCs w:val="28"/>
        </w:rPr>
      </w:pPr>
    </w:p>
    <w:p w14:paraId="3912F1FD">
      <w:pPr>
        <w:pStyle w:val="97"/>
        <w:autoSpaceDE w:val="0"/>
        <w:autoSpaceDN w:val="0"/>
        <w:adjustRightInd w:val="0"/>
        <w:jc w:val="left"/>
        <w:rPr>
          <w:rFonts w:ascii="宋体" w:hAnsi="宋体" w:cs="宋体"/>
          <w:color w:val="000000"/>
          <w:kern w:val="0"/>
          <w:sz w:val="28"/>
          <w:szCs w:val="28"/>
        </w:rPr>
      </w:pPr>
    </w:p>
    <w:p w14:paraId="26DA3E52">
      <w:pPr>
        <w:pStyle w:val="97"/>
        <w:autoSpaceDE w:val="0"/>
        <w:autoSpaceDN w:val="0"/>
        <w:adjustRightInd w:val="0"/>
        <w:jc w:val="left"/>
        <w:rPr>
          <w:rFonts w:ascii="宋体" w:hAnsi="宋体" w:cs="宋体"/>
          <w:color w:val="000000"/>
          <w:kern w:val="0"/>
          <w:sz w:val="28"/>
          <w:szCs w:val="28"/>
        </w:rPr>
      </w:pPr>
    </w:p>
    <w:p w14:paraId="1D95873D">
      <w:pPr>
        <w:pStyle w:val="97"/>
        <w:autoSpaceDE w:val="0"/>
        <w:autoSpaceDN w:val="0"/>
        <w:adjustRightInd w:val="0"/>
        <w:jc w:val="center"/>
        <w:rPr>
          <w:rFonts w:ascii="宋体" w:hAnsi="宋体" w:cs="宋体"/>
          <w:color w:val="000000"/>
          <w:kern w:val="0"/>
          <w:sz w:val="28"/>
          <w:szCs w:val="28"/>
        </w:rPr>
      </w:pPr>
    </w:p>
    <w:p w14:paraId="0C71F286">
      <w:pPr>
        <w:pStyle w:val="97"/>
        <w:autoSpaceDE w:val="0"/>
        <w:autoSpaceDN w:val="0"/>
        <w:adjustRightInd w:val="0"/>
        <w:rPr>
          <w:rFonts w:ascii="宋体" w:hAnsi="宋体" w:cs="宋体"/>
          <w:color w:val="000000"/>
          <w:kern w:val="0"/>
          <w:sz w:val="28"/>
          <w:szCs w:val="28"/>
        </w:rPr>
      </w:pPr>
      <w:r>
        <w:rPr>
          <w:rFonts w:hint="eastAsia" w:ascii="宋体" w:hAnsi="宋体" w:cs="宋体"/>
          <w:color w:val="000000"/>
          <w:kern w:val="0"/>
          <w:sz w:val="28"/>
          <w:szCs w:val="28"/>
        </w:rPr>
        <w:t xml:space="preserve">                  供应商：</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0A71BD79">
      <w:pPr>
        <w:pStyle w:val="97"/>
        <w:autoSpaceDE w:val="0"/>
        <w:autoSpaceDN w:val="0"/>
        <w:adjustRightInd w:val="0"/>
        <w:ind w:right="420"/>
        <w:jc w:val="center"/>
        <w:rPr>
          <w:rFonts w:ascii="宋体" w:hAnsi="宋体" w:cs="宋体"/>
          <w:color w:val="000000"/>
          <w:kern w:val="0"/>
          <w:sz w:val="28"/>
          <w:szCs w:val="28"/>
        </w:rPr>
      </w:pPr>
      <w:r>
        <w:rPr>
          <w:rFonts w:hint="eastAsia" w:ascii="宋体" w:hAnsi="宋体" w:cs="宋体"/>
          <w:color w:val="000000"/>
          <w:kern w:val="0"/>
          <w:sz w:val="28"/>
          <w:szCs w:val="28"/>
        </w:rPr>
        <w:t>法定代表人：</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（盖章或签字）</w:t>
      </w:r>
    </w:p>
    <w:p w14:paraId="487E86AD">
      <w:pPr>
        <w:pStyle w:val="97"/>
        <w:autoSpaceDE w:val="0"/>
        <w:autoSpaceDN w:val="0"/>
        <w:adjustRightInd w:val="0"/>
        <w:ind w:right="980"/>
        <w:jc w:val="center"/>
        <w:rPr>
          <w:rFonts w:ascii="宋体" w:hAnsi="宋体" w:cs="宋体"/>
          <w:highlight w:val="red"/>
        </w:rPr>
      </w:pPr>
      <w:r>
        <w:rPr>
          <w:rFonts w:hint="eastAsia" w:ascii="宋体" w:hAnsi="宋体" w:cs="宋体"/>
          <w:color w:val="000000"/>
          <w:kern w:val="0"/>
          <w:sz w:val="28"/>
          <w:szCs w:val="28"/>
        </w:rPr>
        <w:t>年    月    日</w:t>
      </w:r>
    </w:p>
    <w:p w14:paraId="39016BC5">
      <w:pPr>
        <w:pStyle w:val="98"/>
        <w:jc w:val="center"/>
        <w:outlineLvl w:val="1"/>
        <w:rPr>
          <w:rFonts w:ascii="宋体" w:hAnsi="宋体" w:eastAsia="宋体" w:cs="宋体"/>
        </w:rPr>
      </w:pPr>
      <w:r>
        <w:rPr>
          <w:rFonts w:hint="eastAsia" w:ascii="宋体" w:hAnsi="宋体" w:eastAsia="宋体" w:cs="宋体"/>
        </w:rPr>
        <w:br w:type="page"/>
      </w:r>
      <w:bookmarkStart w:id="84" w:name="_Toc24069"/>
      <w:bookmarkStart w:id="85" w:name="_Toc17792"/>
      <w:r>
        <w:rPr>
          <w:rFonts w:hint="eastAsia" w:ascii="宋体" w:hAnsi="宋体" w:eastAsia="宋体" w:cs="宋体"/>
        </w:rPr>
        <w:t>目    录</w:t>
      </w:r>
      <w:bookmarkEnd w:id="84"/>
      <w:bookmarkEnd w:id="85"/>
    </w:p>
    <w:p w14:paraId="06904501">
      <w:pPr>
        <w:pStyle w:val="100"/>
        <w:numPr>
          <w:ilvl w:val="0"/>
          <w:numId w:val="10"/>
        </w:numPr>
        <w:rPr>
          <w:rFonts w:ascii="宋体" w:hAnsi="宋体" w:eastAsia="宋体" w:cs="宋体"/>
        </w:rPr>
      </w:pPr>
      <w:r>
        <w:rPr>
          <w:rFonts w:hint="eastAsia" w:ascii="宋体" w:hAnsi="宋体" w:eastAsia="宋体" w:cs="宋体"/>
        </w:rPr>
        <w:t>响应声明及承诺函</w:t>
      </w:r>
    </w:p>
    <w:p w14:paraId="67B3E212">
      <w:pPr>
        <w:pStyle w:val="100"/>
        <w:numPr>
          <w:ilvl w:val="0"/>
          <w:numId w:val="10"/>
        </w:numPr>
        <w:rPr>
          <w:rFonts w:ascii="宋体" w:hAnsi="宋体" w:eastAsia="宋体" w:cs="宋体"/>
        </w:rPr>
      </w:pPr>
      <w:r>
        <w:rPr>
          <w:rFonts w:hint="eastAsia" w:ascii="宋体" w:hAnsi="宋体" w:eastAsia="宋体" w:cs="宋体"/>
        </w:rPr>
        <w:t>法定代表人授权委托书</w:t>
      </w:r>
    </w:p>
    <w:p w14:paraId="7AF4BAE8">
      <w:pPr>
        <w:pStyle w:val="100"/>
        <w:numPr>
          <w:ilvl w:val="0"/>
          <w:numId w:val="10"/>
        </w:numPr>
        <w:rPr>
          <w:rFonts w:ascii="宋体" w:hAnsi="宋体" w:eastAsia="宋体" w:cs="宋体"/>
        </w:rPr>
      </w:pPr>
      <w:r>
        <w:rPr>
          <w:rFonts w:hint="eastAsia" w:ascii="宋体" w:hAnsi="宋体" w:eastAsia="宋体" w:cs="宋体"/>
        </w:rPr>
        <w:t>供应商基本信息</w:t>
      </w:r>
    </w:p>
    <w:p w14:paraId="19B3457A">
      <w:pPr>
        <w:pStyle w:val="100"/>
        <w:numPr>
          <w:ilvl w:val="0"/>
          <w:numId w:val="10"/>
        </w:numPr>
        <w:rPr>
          <w:rFonts w:ascii="宋体" w:hAnsi="宋体" w:eastAsia="宋体" w:cs="宋体"/>
        </w:rPr>
      </w:pPr>
      <w:r>
        <w:rPr>
          <w:rFonts w:hint="eastAsia" w:ascii="宋体" w:hAnsi="宋体" w:eastAsia="宋体" w:cs="宋体"/>
        </w:rPr>
        <w:t>报价一览表</w:t>
      </w:r>
    </w:p>
    <w:p w14:paraId="0D7D2214">
      <w:pPr>
        <w:pStyle w:val="100"/>
        <w:tabs>
          <w:tab w:val="left" w:pos="0"/>
        </w:tabs>
        <w:rPr>
          <w:rFonts w:ascii="宋体" w:hAnsi="宋体" w:eastAsia="宋体" w:cs="宋体"/>
        </w:rPr>
      </w:pPr>
      <w:r>
        <w:rPr>
          <w:rFonts w:hint="eastAsia" w:ascii="宋体" w:hAnsi="宋体" w:eastAsia="宋体" w:cs="宋体"/>
        </w:rPr>
        <w:t>五、明细报价表</w:t>
      </w:r>
    </w:p>
    <w:p w14:paraId="4D290931">
      <w:pPr>
        <w:pStyle w:val="100"/>
        <w:tabs>
          <w:tab w:val="left" w:pos="0"/>
        </w:tabs>
        <w:rPr>
          <w:rFonts w:ascii="宋体" w:hAnsi="宋体" w:eastAsia="宋体" w:cs="宋体"/>
          <w:bCs/>
        </w:rPr>
      </w:pPr>
      <w:r>
        <w:rPr>
          <w:rFonts w:hint="eastAsia" w:ascii="宋体" w:hAnsi="宋体" w:eastAsia="宋体" w:cs="宋体"/>
        </w:rPr>
        <w:t>六、</w:t>
      </w:r>
      <w:r>
        <w:rPr>
          <w:rFonts w:hint="eastAsia" w:ascii="宋体" w:hAnsi="宋体" w:eastAsia="宋体" w:cs="宋体"/>
          <w:bCs/>
        </w:rPr>
        <w:t>中小企业声明函</w:t>
      </w:r>
    </w:p>
    <w:p w14:paraId="59BFBE53">
      <w:pPr>
        <w:pStyle w:val="100"/>
        <w:tabs>
          <w:tab w:val="left" w:pos="0"/>
        </w:tabs>
        <w:rPr>
          <w:rFonts w:ascii="宋体" w:hAnsi="宋体" w:eastAsia="宋体" w:cs="宋体"/>
        </w:rPr>
      </w:pPr>
      <w:r>
        <w:rPr>
          <w:rFonts w:hint="eastAsia" w:ascii="宋体" w:hAnsi="宋体" w:eastAsia="宋体" w:cs="宋体"/>
        </w:rPr>
        <w:t>七、残疾人福利性单位声明函</w:t>
      </w:r>
    </w:p>
    <w:p w14:paraId="106AD52C">
      <w:pPr>
        <w:pStyle w:val="100"/>
        <w:rPr>
          <w:rFonts w:ascii="宋体" w:hAnsi="宋体" w:eastAsia="宋体" w:cs="宋体"/>
        </w:rPr>
      </w:pPr>
      <w:r>
        <w:rPr>
          <w:rFonts w:hint="eastAsia" w:ascii="宋体" w:hAnsi="宋体" w:eastAsia="宋体" w:cs="宋体"/>
        </w:rPr>
        <w:t>八、技术要求响应偏离表</w:t>
      </w:r>
    </w:p>
    <w:p w14:paraId="1FA2A46B">
      <w:pPr>
        <w:pStyle w:val="100"/>
        <w:tabs>
          <w:tab w:val="left" w:pos="0"/>
        </w:tabs>
        <w:rPr>
          <w:rFonts w:ascii="宋体" w:hAnsi="宋体" w:eastAsia="宋体" w:cs="宋体"/>
        </w:rPr>
      </w:pPr>
      <w:r>
        <w:rPr>
          <w:rFonts w:hint="eastAsia" w:ascii="宋体" w:hAnsi="宋体" w:eastAsia="宋体" w:cs="宋体"/>
        </w:rPr>
        <w:t>九、项目实施方案</w:t>
      </w:r>
    </w:p>
    <w:p w14:paraId="35A9D9C4">
      <w:pPr>
        <w:pStyle w:val="100"/>
        <w:rPr>
          <w:rFonts w:ascii="宋体" w:hAnsi="宋体" w:eastAsia="宋体" w:cs="宋体"/>
        </w:rPr>
      </w:pPr>
      <w:r>
        <w:rPr>
          <w:rFonts w:hint="eastAsia" w:ascii="宋体" w:hAnsi="宋体" w:eastAsia="宋体" w:cs="宋体"/>
        </w:rPr>
        <w:t>十、质量保证及服务方案</w:t>
      </w:r>
    </w:p>
    <w:p w14:paraId="638EC41E">
      <w:pPr>
        <w:pStyle w:val="100"/>
        <w:rPr>
          <w:rFonts w:ascii="宋体" w:hAnsi="宋体" w:eastAsia="宋体" w:cs="宋体"/>
        </w:rPr>
      </w:pPr>
      <w:r>
        <w:rPr>
          <w:rFonts w:hint="eastAsia" w:ascii="宋体" w:hAnsi="宋体" w:eastAsia="宋体" w:cs="宋体"/>
        </w:rPr>
        <w:t>十二、谈判所需的其他资料</w:t>
      </w:r>
    </w:p>
    <w:p w14:paraId="52409599">
      <w:pPr>
        <w:pStyle w:val="100"/>
        <w:rPr>
          <w:rFonts w:ascii="宋体" w:hAnsi="宋体" w:eastAsia="宋体" w:cs="宋体"/>
        </w:rPr>
      </w:pPr>
    </w:p>
    <w:p w14:paraId="12B7EB45">
      <w:pPr>
        <w:pStyle w:val="100"/>
        <w:rPr>
          <w:rFonts w:ascii="宋体" w:hAnsi="宋体" w:eastAsia="宋体" w:cs="宋体"/>
        </w:rPr>
      </w:pPr>
    </w:p>
    <w:p w14:paraId="34C983FE">
      <w:pPr>
        <w:pStyle w:val="100"/>
        <w:rPr>
          <w:rFonts w:ascii="宋体" w:hAnsi="宋体" w:eastAsia="宋体" w:cs="宋体"/>
        </w:rPr>
      </w:pPr>
    </w:p>
    <w:p w14:paraId="31D97D84">
      <w:pPr>
        <w:pStyle w:val="101"/>
        <w:jc w:val="left"/>
        <w:outlineLvl w:val="1"/>
        <w:rPr>
          <w:rFonts w:ascii="宋体" w:hAnsi="宋体" w:cs="宋体"/>
          <w:bCs/>
          <w:sz w:val="32"/>
          <w:szCs w:val="32"/>
        </w:rPr>
      </w:pPr>
      <w:r>
        <w:rPr>
          <w:rFonts w:hint="eastAsia" w:ascii="宋体" w:hAnsi="宋体" w:cs="宋体"/>
        </w:rPr>
        <w:br w:type="page"/>
      </w:r>
      <w:bookmarkStart w:id="86" w:name="_Toc24129"/>
      <w:r>
        <w:rPr>
          <w:rFonts w:hint="eastAsia" w:ascii="宋体" w:hAnsi="宋体" w:cs="宋体"/>
          <w:b/>
          <w:bCs/>
          <w:sz w:val="32"/>
          <w:szCs w:val="32"/>
        </w:rPr>
        <w:t>一、响应声明及承诺函</w:t>
      </w:r>
      <w:bookmarkEnd w:id="86"/>
    </w:p>
    <w:p w14:paraId="7FB10D69">
      <w:pPr>
        <w:pStyle w:val="101"/>
        <w:ind w:firstLine="3520" w:firstLineChars="1100"/>
        <w:rPr>
          <w:rFonts w:ascii="宋体" w:hAnsi="宋体" w:cs="宋体"/>
          <w:bCs/>
          <w:sz w:val="32"/>
          <w:szCs w:val="32"/>
        </w:rPr>
      </w:pPr>
    </w:p>
    <w:p w14:paraId="465C7AE4">
      <w:pPr>
        <w:pStyle w:val="101"/>
        <w:ind w:firstLine="3520" w:firstLineChars="1100"/>
        <w:rPr>
          <w:rFonts w:ascii="宋体" w:hAnsi="宋体" w:cs="宋体"/>
          <w:bCs/>
          <w:sz w:val="32"/>
          <w:szCs w:val="32"/>
        </w:rPr>
      </w:pPr>
      <w:r>
        <w:rPr>
          <w:rFonts w:hint="eastAsia" w:ascii="宋体" w:hAnsi="宋体" w:cs="宋体"/>
          <w:bCs/>
          <w:sz w:val="32"/>
          <w:szCs w:val="32"/>
        </w:rPr>
        <w:t>响应声明及承诺函</w:t>
      </w:r>
    </w:p>
    <w:p w14:paraId="64E35F82">
      <w:pPr>
        <w:pStyle w:val="101"/>
        <w:jc w:val="center"/>
        <w:rPr>
          <w:rFonts w:ascii="宋体" w:hAnsi="宋体" w:cs="宋体"/>
          <w:bCs/>
          <w:sz w:val="32"/>
          <w:szCs w:val="32"/>
        </w:rPr>
      </w:pPr>
    </w:p>
    <w:p w14:paraId="01D3E089">
      <w:pPr>
        <w:pStyle w:val="101"/>
        <w:jc w:val="left"/>
        <w:rPr>
          <w:rFonts w:ascii="宋体" w:hAnsi="宋体" w:cs="宋体"/>
          <w:bCs/>
          <w:sz w:val="24"/>
          <w:szCs w:val="24"/>
        </w:rPr>
      </w:pPr>
      <w:r>
        <w:rPr>
          <w:rFonts w:hint="eastAsia" w:ascii="宋体" w:hAnsi="宋体" w:cs="宋体"/>
          <w:bCs/>
          <w:sz w:val="24"/>
          <w:szCs w:val="24"/>
        </w:rPr>
        <w:t>（采购人名称）：</w:t>
      </w:r>
    </w:p>
    <w:p w14:paraId="3859A73C">
      <w:pPr>
        <w:pStyle w:val="101"/>
        <w:spacing w:line="500" w:lineRule="exact"/>
        <w:ind w:firstLine="720" w:firstLineChars="300"/>
        <w:jc w:val="left"/>
        <w:rPr>
          <w:rFonts w:ascii="宋体" w:hAnsi="宋体" w:cs="宋体"/>
          <w:bCs/>
          <w:sz w:val="24"/>
          <w:szCs w:val="24"/>
        </w:rPr>
      </w:pPr>
      <w:r>
        <w:rPr>
          <w:rFonts w:hint="eastAsia" w:ascii="宋体" w:hAnsi="宋体" w:cs="宋体"/>
          <w:bCs/>
          <w:sz w:val="24"/>
          <w:szCs w:val="24"/>
        </w:rPr>
        <w:t>根据已收到的项目编号为</w:t>
      </w:r>
      <w:r>
        <w:rPr>
          <w:rFonts w:hint="eastAsia" w:ascii="宋体" w:hAnsi="宋体" w:cs="宋体"/>
          <w:bCs/>
          <w:sz w:val="24"/>
          <w:szCs w:val="24"/>
          <w:u w:val="single"/>
        </w:rPr>
        <w:t xml:space="preserve">        </w:t>
      </w:r>
      <w:r>
        <w:rPr>
          <w:rFonts w:hint="eastAsia" w:ascii="宋体" w:hAnsi="宋体" w:cs="宋体"/>
          <w:bCs/>
          <w:sz w:val="24"/>
          <w:szCs w:val="24"/>
        </w:rPr>
        <w:t>的</w:t>
      </w:r>
      <w:r>
        <w:rPr>
          <w:rFonts w:hint="eastAsia" w:ascii="宋体" w:hAnsi="宋体" w:cs="宋体"/>
          <w:bCs/>
          <w:sz w:val="24"/>
          <w:szCs w:val="24"/>
          <w:u w:val="single"/>
        </w:rPr>
        <w:t xml:space="preserve">         </w:t>
      </w:r>
      <w:r>
        <w:rPr>
          <w:rFonts w:hint="eastAsia" w:ascii="宋体" w:hAnsi="宋体" w:cs="宋体"/>
          <w:bCs/>
          <w:sz w:val="24"/>
          <w:szCs w:val="24"/>
        </w:rPr>
        <w:t>项目的竞争性谈判文件，我方在参加竞争性谈判活动中，特做出如下承诺：</w:t>
      </w:r>
    </w:p>
    <w:p w14:paraId="62717CDE">
      <w:pPr>
        <w:pStyle w:val="101"/>
        <w:spacing w:line="500" w:lineRule="exact"/>
        <w:ind w:firstLine="480" w:firstLineChars="200"/>
        <w:jc w:val="left"/>
        <w:rPr>
          <w:rFonts w:ascii="宋体" w:hAnsi="宋体" w:cs="宋体"/>
          <w:bCs/>
          <w:sz w:val="24"/>
          <w:szCs w:val="24"/>
        </w:rPr>
      </w:pPr>
      <w:r>
        <w:rPr>
          <w:rFonts w:hint="eastAsia" w:ascii="宋体" w:hAnsi="宋体" w:cs="宋体"/>
          <w:bCs/>
          <w:sz w:val="24"/>
          <w:szCs w:val="24"/>
        </w:rPr>
        <w:t>一、具有独立承担民事责任能力的法人或其他经济组织；</w:t>
      </w:r>
    </w:p>
    <w:p w14:paraId="36D039D9">
      <w:pPr>
        <w:pStyle w:val="101"/>
        <w:spacing w:line="500" w:lineRule="exact"/>
        <w:ind w:firstLine="480" w:firstLineChars="200"/>
        <w:jc w:val="left"/>
        <w:rPr>
          <w:rFonts w:ascii="宋体" w:hAnsi="宋体" w:cs="宋体"/>
          <w:bCs/>
          <w:sz w:val="24"/>
          <w:szCs w:val="24"/>
        </w:rPr>
      </w:pPr>
      <w:r>
        <w:rPr>
          <w:rFonts w:hint="eastAsia" w:ascii="宋体" w:hAnsi="宋体" w:cs="宋体"/>
          <w:bCs/>
          <w:sz w:val="24"/>
          <w:szCs w:val="24"/>
        </w:rPr>
        <w:t>二、我方在参加采购活动前三年内（自本项目谈判时间之日起计算），在经营活动中没有重大违法记录（指因违法经营受到刑事处罚或者责令停产停业、吊销许可证或者执照、较大数额罚款等行政处罚）。</w:t>
      </w:r>
    </w:p>
    <w:p w14:paraId="6D481491">
      <w:pPr>
        <w:pStyle w:val="101"/>
        <w:spacing w:line="500" w:lineRule="exact"/>
        <w:ind w:firstLine="480" w:firstLineChars="200"/>
        <w:jc w:val="left"/>
        <w:rPr>
          <w:rFonts w:ascii="宋体" w:hAnsi="宋体" w:cs="宋体"/>
          <w:bCs/>
          <w:sz w:val="24"/>
          <w:szCs w:val="24"/>
        </w:rPr>
      </w:pPr>
      <w:r>
        <w:rPr>
          <w:rFonts w:hint="eastAsia" w:ascii="宋体" w:hAnsi="宋体" w:cs="宋体"/>
          <w:bCs/>
          <w:sz w:val="24"/>
          <w:szCs w:val="24"/>
        </w:rPr>
        <w:t>三、我方按谈判文件要求提交响应文件，响应谈判文件规定的有效期；</w:t>
      </w:r>
    </w:p>
    <w:p w14:paraId="0149FD9C">
      <w:pPr>
        <w:pStyle w:val="101"/>
        <w:spacing w:line="500" w:lineRule="exact"/>
        <w:ind w:firstLine="480" w:firstLineChars="200"/>
        <w:jc w:val="left"/>
        <w:rPr>
          <w:rFonts w:ascii="宋体" w:hAnsi="宋体" w:cs="宋体"/>
          <w:bCs/>
          <w:sz w:val="24"/>
          <w:szCs w:val="24"/>
        </w:rPr>
      </w:pPr>
      <w:r>
        <w:rPr>
          <w:rFonts w:hint="eastAsia" w:ascii="宋体" w:hAnsi="宋体" w:cs="宋体"/>
          <w:bCs/>
          <w:sz w:val="24"/>
          <w:szCs w:val="24"/>
        </w:rPr>
        <w:t>四、如果我方的响应文件被接受，我方将按《中华人民共和国民法典》及其他有关法律法规的规定，履行谈判文件中规定的每项要求，并按我方响应文件中的承诺按期、按质、按量交付采购人，全面做到履约守信；</w:t>
      </w:r>
    </w:p>
    <w:p w14:paraId="0E92F1C3">
      <w:pPr>
        <w:pStyle w:val="101"/>
        <w:spacing w:line="500" w:lineRule="exact"/>
        <w:ind w:firstLine="480" w:firstLineChars="200"/>
        <w:jc w:val="left"/>
        <w:rPr>
          <w:rFonts w:ascii="宋体" w:hAnsi="宋体" w:cs="宋体"/>
          <w:bCs/>
          <w:sz w:val="24"/>
          <w:szCs w:val="24"/>
        </w:rPr>
      </w:pPr>
      <w:r>
        <w:rPr>
          <w:rFonts w:hint="eastAsia" w:ascii="宋体" w:hAnsi="宋体" w:cs="宋体"/>
          <w:bCs/>
          <w:sz w:val="24"/>
          <w:szCs w:val="24"/>
        </w:rPr>
        <w:t>五、我方若违背本声明及承诺约定，经查实，自愿接受采购人及相关主管部门相应的规定处理，并依法承担相应的法律责任。</w:t>
      </w:r>
    </w:p>
    <w:p w14:paraId="36518023">
      <w:pPr>
        <w:pStyle w:val="101"/>
        <w:spacing w:line="500" w:lineRule="exact"/>
        <w:ind w:firstLine="480" w:firstLineChars="200"/>
        <w:jc w:val="left"/>
        <w:rPr>
          <w:rFonts w:ascii="宋体" w:hAnsi="宋体" w:cs="宋体"/>
          <w:bCs/>
          <w:sz w:val="24"/>
          <w:szCs w:val="24"/>
        </w:rPr>
      </w:pPr>
      <w:bookmarkStart w:id="87" w:name="_Toc29472"/>
      <w:r>
        <w:rPr>
          <w:rFonts w:hint="eastAsia" w:ascii="宋体" w:hAnsi="宋体" w:cs="宋体"/>
          <w:bCs/>
          <w:sz w:val="24"/>
          <w:szCs w:val="24"/>
        </w:rPr>
        <w:t>六、我方同意采购人、采购代理机构将本声明及承诺函上网公开。</w:t>
      </w:r>
      <w:bookmarkEnd w:id="87"/>
    </w:p>
    <w:p w14:paraId="6FAD89D4">
      <w:pPr>
        <w:pStyle w:val="101"/>
        <w:spacing w:line="500" w:lineRule="exact"/>
        <w:ind w:firstLine="480" w:firstLineChars="200"/>
        <w:jc w:val="left"/>
        <w:rPr>
          <w:rFonts w:ascii="宋体" w:hAnsi="宋体" w:cs="宋体"/>
          <w:bCs/>
          <w:sz w:val="24"/>
          <w:szCs w:val="24"/>
        </w:rPr>
      </w:pPr>
    </w:p>
    <w:p w14:paraId="6F8D7AB5">
      <w:pPr>
        <w:pStyle w:val="101"/>
        <w:spacing w:line="500" w:lineRule="exact"/>
        <w:ind w:firstLine="480" w:firstLineChars="200"/>
        <w:jc w:val="left"/>
        <w:rPr>
          <w:rFonts w:ascii="宋体" w:hAnsi="宋体" w:cs="宋体"/>
          <w:bCs/>
          <w:sz w:val="24"/>
          <w:szCs w:val="24"/>
        </w:rPr>
      </w:pPr>
    </w:p>
    <w:p w14:paraId="21A952CA">
      <w:pPr>
        <w:pStyle w:val="101"/>
        <w:spacing w:line="500" w:lineRule="exact"/>
        <w:ind w:firstLine="480" w:firstLineChars="200"/>
        <w:jc w:val="left"/>
        <w:rPr>
          <w:rFonts w:ascii="宋体" w:hAnsi="宋体" w:cs="宋体"/>
          <w:bCs/>
          <w:sz w:val="24"/>
          <w:szCs w:val="24"/>
        </w:rPr>
      </w:pPr>
      <w:r>
        <w:rPr>
          <w:rFonts w:hint="eastAsia" w:ascii="宋体" w:hAnsi="宋体" w:cs="宋体"/>
          <w:bCs/>
          <w:sz w:val="24"/>
          <w:szCs w:val="24"/>
        </w:rPr>
        <w:t>单位名称：           （公章）</w:t>
      </w:r>
    </w:p>
    <w:p w14:paraId="77D9CB8C">
      <w:pPr>
        <w:pStyle w:val="101"/>
        <w:spacing w:line="500" w:lineRule="exact"/>
        <w:ind w:firstLine="480" w:firstLineChars="200"/>
        <w:jc w:val="left"/>
        <w:rPr>
          <w:rFonts w:ascii="宋体" w:hAnsi="宋体" w:cs="宋体"/>
          <w:bCs/>
          <w:sz w:val="24"/>
          <w:szCs w:val="24"/>
        </w:rPr>
      </w:pPr>
      <w:r>
        <w:rPr>
          <w:rFonts w:hint="eastAsia" w:ascii="宋体" w:hAnsi="宋体" w:cs="宋体"/>
          <w:bCs/>
          <w:sz w:val="24"/>
          <w:szCs w:val="24"/>
        </w:rPr>
        <w:t>法定代表人：          （签字或盖章）</w:t>
      </w:r>
    </w:p>
    <w:p w14:paraId="7962B497">
      <w:pPr>
        <w:pStyle w:val="101"/>
        <w:spacing w:line="500" w:lineRule="exact"/>
        <w:ind w:firstLine="480" w:firstLineChars="200"/>
        <w:jc w:val="left"/>
        <w:rPr>
          <w:rFonts w:ascii="宋体" w:hAnsi="宋体" w:cs="宋体"/>
          <w:bCs/>
          <w:sz w:val="24"/>
          <w:szCs w:val="24"/>
        </w:rPr>
      </w:pPr>
      <w:r>
        <w:rPr>
          <w:rFonts w:hint="eastAsia" w:ascii="宋体" w:hAnsi="宋体" w:cs="宋体"/>
          <w:bCs/>
          <w:sz w:val="24"/>
          <w:szCs w:val="24"/>
        </w:rPr>
        <w:t xml:space="preserve">日期：          </w:t>
      </w:r>
    </w:p>
    <w:p w14:paraId="5AB6F313">
      <w:pPr>
        <w:pStyle w:val="101"/>
        <w:spacing w:line="500" w:lineRule="exact"/>
        <w:jc w:val="left"/>
        <w:rPr>
          <w:rFonts w:ascii="宋体" w:hAnsi="宋体" w:cs="宋体"/>
          <w:sz w:val="24"/>
          <w:szCs w:val="24"/>
        </w:rPr>
      </w:pPr>
    </w:p>
    <w:p w14:paraId="3798013C">
      <w:pPr>
        <w:pStyle w:val="101"/>
        <w:spacing w:line="500" w:lineRule="exact"/>
        <w:jc w:val="left"/>
        <w:rPr>
          <w:rFonts w:ascii="宋体" w:hAnsi="宋体" w:cs="宋体"/>
          <w:b/>
          <w:sz w:val="44"/>
          <w:szCs w:val="44"/>
        </w:rPr>
      </w:pPr>
    </w:p>
    <w:p w14:paraId="5D7432C3">
      <w:pPr>
        <w:pStyle w:val="102"/>
        <w:outlineLvl w:val="1"/>
        <w:rPr>
          <w:rFonts w:ascii="宋体" w:hAnsi="宋体" w:eastAsia="宋体" w:cs="宋体"/>
        </w:rPr>
      </w:pPr>
      <w:r>
        <w:rPr>
          <w:rFonts w:hint="eastAsia" w:ascii="宋体" w:hAnsi="宋体" w:eastAsia="宋体" w:cs="宋体"/>
        </w:rPr>
        <w:br w:type="page"/>
      </w:r>
      <w:bookmarkStart w:id="88" w:name="_Toc7919"/>
      <w:bookmarkStart w:id="89" w:name="_Toc21318"/>
      <w:r>
        <w:rPr>
          <w:rFonts w:hint="eastAsia" w:ascii="宋体" w:hAnsi="宋体" w:eastAsia="宋体" w:cs="宋体"/>
        </w:rPr>
        <w:t>二、法定代表人授权委托书</w:t>
      </w:r>
      <w:bookmarkEnd w:id="88"/>
      <w:bookmarkEnd w:id="89"/>
    </w:p>
    <w:p w14:paraId="4DCC461F">
      <w:pPr>
        <w:pStyle w:val="72"/>
        <w:spacing w:line="560" w:lineRule="exact"/>
        <w:jc w:val="center"/>
        <w:rPr>
          <w:rFonts w:ascii="宋体" w:hAnsi="宋体" w:cs="宋体"/>
          <w:b/>
          <w:bCs/>
          <w:sz w:val="32"/>
          <w:szCs w:val="32"/>
        </w:rPr>
      </w:pPr>
      <w:r>
        <w:rPr>
          <w:rFonts w:hint="eastAsia" w:ascii="宋体" w:hAnsi="宋体" w:cs="宋体"/>
          <w:b/>
          <w:bCs/>
          <w:sz w:val="32"/>
          <w:szCs w:val="32"/>
        </w:rPr>
        <w:t>法定代表人授权委托书</w:t>
      </w:r>
    </w:p>
    <w:p w14:paraId="30AAE097">
      <w:pPr>
        <w:pStyle w:val="72"/>
        <w:spacing w:line="600" w:lineRule="exact"/>
        <w:rPr>
          <w:rFonts w:ascii="宋体" w:hAnsi="宋体" w:cs="宋体"/>
          <w:sz w:val="32"/>
        </w:rPr>
      </w:pPr>
    </w:p>
    <w:p w14:paraId="2676C5B7">
      <w:pPr>
        <w:pStyle w:val="75"/>
        <w:spacing w:line="360" w:lineRule="auto"/>
        <w:rPr>
          <w:rFonts w:ascii="宋体" w:hAnsi="宋体" w:cs="宋体"/>
          <w:sz w:val="24"/>
        </w:rPr>
      </w:pPr>
      <w:r>
        <w:rPr>
          <w:rFonts w:hint="eastAsia" w:ascii="宋体" w:hAnsi="宋体" w:cs="宋体"/>
          <w:sz w:val="24"/>
          <w:u w:val="single"/>
        </w:rPr>
        <w:t>（采购人名称）</w:t>
      </w:r>
      <w:r>
        <w:rPr>
          <w:rFonts w:hint="eastAsia" w:ascii="宋体" w:hAnsi="宋体" w:cs="宋体"/>
          <w:sz w:val="24"/>
        </w:rPr>
        <w:t>：</w:t>
      </w:r>
    </w:p>
    <w:p w14:paraId="358BD48C">
      <w:pPr>
        <w:pStyle w:val="75"/>
        <w:spacing w:line="360" w:lineRule="auto"/>
        <w:ind w:firstLine="480" w:firstLineChars="200"/>
        <w:rPr>
          <w:rFonts w:ascii="宋体" w:hAnsi="宋体" w:cs="宋体"/>
          <w:sz w:val="24"/>
          <w:szCs w:val="20"/>
        </w:rPr>
      </w:pPr>
      <w:r>
        <w:rPr>
          <w:rFonts w:hint="eastAsia" w:ascii="宋体" w:hAnsi="宋体" w:cs="宋体"/>
          <w:sz w:val="24"/>
          <w:u w:val="single"/>
        </w:rPr>
        <w:t xml:space="preserve">      （单位名称）</w:t>
      </w:r>
      <w:r>
        <w:rPr>
          <w:rFonts w:hint="eastAsia" w:ascii="宋体" w:hAnsi="宋体" w:cs="宋体"/>
          <w:sz w:val="24"/>
        </w:rPr>
        <w:t>法定代表人</w:t>
      </w:r>
      <w:r>
        <w:rPr>
          <w:rFonts w:hint="eastAsia" w:ascii="宋体" w:hAnsi="宋体" w:cs="宋体"/>
          <w:sz w:val="24"/>
          <w:u w:val="single"/>
        </w:rPr>
        <w:t xml:space="preserve">       （姓名）</w:t>
      </w:r>
      <w:r>
        <w:rPr>
          <w:rFonts w:hint="eastAsia" w:ascii="宋体" w:hAnsi="宋体" w:cs="宋体"/>
          <w:sz w:val="24"/>
        </w:rPr>
        <w:t xml:space="preserve">，法定代表人身份证号： </w:t>
      </w:r>
      <w:r>
        <w:rPr>
          <w:rFonts w:hint="eastAsia" w:ascii="宋体" w:hAnsi="宋体" w:cs="宋体"/>
          <w:sz w:val="24"/>
          <w:u w:val="single"/>
        </w:rPr>
        <w:t xml:space="preserve">           </w:t>
      </w:r>
      <w:r>
        <w:rPr>
          <w:rFonts w:hint="eastAsia" w:ascii="宋体" w:hAnsi="宋体" w:cs="宋体"/>
          <w:sz w:val="24"/>
        </w:rPr>
        <w:t>，授权我单位</w:t>
      </w:r>
      <w:r>
        <w:rPr>
          <w:rFonts w:hint="eastAsia" w:ascii="宋体" w:hAnsi="宋体" w:cs="宋体"/>
          <w:sz w:val="24"/>
          <w:u w:val="single"/>
        </w:rPr>
        <w:t xml:space="preserve">           </w:t>
      </w:r>
      <w:r>
        <w:rPr>
          <w:rFonts w:hint="eastAsia" w:ascii="宋体" w:hAnsi="宋体" w:cs="宋体"/>
          <w:sz w:val="24"/>
        </w:rPr>
        <w:t>（职务或职称）</w:t>
      </w:r>
      <w:r>
        <w:rPr>
          <w:rFonts w:hint="eastAsia" w:ascii="宋体" w:hAnsi="宋体" w:cs="宋体"/>
          <w:sz w:val="24"/>
          <w:u w:val="single"/>
        </w:rPr>
        <w:t xml:space="preserve">         </w:t>
      </w:r>
      <w:r>
        <w:rPr>
          <w:rFonts w:hint="eastAsia" w:ascii="宋体" w:hAnsi="宋体" w:cs="宋体"/>
          <w:sz w:val="24"/>
        </w:rPr>
        <w:t>（姓名），身份证号：</w:t>
      </w:r>
      <w:r>
        <w:rPr>
          <w:rFonts w:hint="eastAsia" w:ascii="宋体" w:hAnsi="宋体" w:cs="宋体"/>
          <w:sz w:val="24"/>
          <w:u w:val="single"/>
        </w:rPr>
        <w:t xml:space="preserve">          </w:t>
      </w:r>
      <w:r>
        <w:rPr>
          <w:rFonts w:hint="eastAsia" w:ascii="宋体" w:hAnsi="宋体" w:cs="宋体"/>
          <w:sz w:val="24"/>
        </w:rPr>
        <w:t>，为我单位本次授权代理人，全权处理此次</w:t>
      </w:r>
      <w:r>
        <w:rPr>
          <w:rFonts w:hint="eastAsia" w:ascii="宋体" w:hAnsi="宋体" w:cs="宋体"/>
          <w:sz w:val="24"/>
          <w:u w:val="single"/>
        </w:rPr>
        <w:t xml:space="preserve">           （项目名称）</w:t>
      </w:r>
      <w:r>
        <w:rPr>
          <w:rFonts w:hint="eastAsia" w:ascii="宋体" w:hAnsi="宋体" w:cs="宋体"/>
          <w:kern w:val="10"/>
          <w:sz w:val="24"/>
        </w:rPr>
        <w:t>竞争性谈判</w:t>
      </w:r>
      <w:r>
        <w:rPr>
          <w:rFonts w:hint="eastAsia" w:ascii="宋体" w:hAnsi="宋体" w:cs="宋体"/>
          <w:sz w:val="24"/>
        </w:rPr>
        <w:t>活动的一切事宜，</w:t>
      </w:r>
      <w:r>
        <w:rPr>
          <w:rFonts w:hint="eastAsia" w:ascii="宋体" w:hAnsi="宋体" w:cs="宋体"/>
          <w:sz w:val="24"/>
          <w:szCs w:val="20"/>
        </w:rPr>
        <w:t>特此授权。</w:t>
      </w:r>
    </w:p>
    <w:tbl>
      <w:tblPr>
        <w:tblStyle w:val="49"/>
        <w:tblW w:w="8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0"/>
        <w:gridCol w:w="4154"/>
      </w:tblGrid>
      <w:tr w14:paraId="56E9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3940" w:type="dxa"/>
          </w:tcPr>
          <w:p w14:paraId="5065DB3F">
            <w:pPr>
              <w:spacing w:line="560" w:lineRule="exact"/>
              <w:jc w:val="center"/>
              <w:rPr>
                <w:rFonts w:ascii="宋体" w:hAnsi="宋体" w:cs="宋体"/>
                <w:b/>
                <w:sz w:val="30"/>
              </w:rPr>
            </w:pPr>
          </w:p>
          <w:p w14:paraId="6E98D84D">
            <w:pPr>
              <w:spacing w:line="560" w:lineRule="exact"/>
              <w:jc w:val="center"/>
              <w:rPr>
                <w:rFonts w:ascii="宋体" w:hAnsi="宋体" w:cs="宋体"/>
                <w:sz w:val="24"/>
              </w:rPr>
            </w:pPr>
            <w:r>
              <w:rPr>
                <w:rFonts w:hint="eastAsia" w:ascii="宋体" w:hAnsi="宋体" w:cs="宋体"/>
                <w:b/>
                <w:sz w:val="30"/>
              </w:rPr>
              <w:t>法人身份证复印件（正面）</w:t>
            </w:r>
          </w:p>
        </w:tc>
        <w:tc>
          <w:tcPr>
            <w:tcW w:w="4154" w:type="dxa"/>
          </w:tcPr>
          <w:p w14:paraId="78AEE8B2">
            <w:pPr>
              <w:spacing w:line="560" w:lineRule="exact"/>
              <w:rPr>
                <w:rFonts w:ascii="宋体" w:hAnsi="宋体" w:cs="宋体"/>
                <w:b/>
                <w:sz w:val="30"/>
              </w:rPr>
            </w:pPr>
          </w:p>
          <w:p w14:paraId="6921F610">
            <w:pPr>
              <w:spacing w:line="560" w:lineRule="exact"/>
              <w:rPr>
                <w:rFonts w:ascii="宋体" w:hAnsi="宋体" w:cs="宋体"/>
                <w:b/>
                <w:sz w:val="30"/>
              </w:rPr>
            </w:pPr>
            <w:r>
              <w:rPr>
                <w:rFonts w:hint="eastAsia" w:ascii="宋体" w:hAnsi="宋体" w:cs="宋体"/>
                <w:b/>
                <w:sz w:val="30"/>
              </w:rPr>
              <w:t>被授权人身份证复印件（正面）</w:t>
            </w:r>
          </w:p>
        </w:tc>
      </w:tr>
      <w:tr w14:paraId="66AC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3940" w:type="dxa"/>
          </w:tcPr>
          <w:p w14:paraId="5F51334C">
            <w:pPr>
              <w:spacing w:line="560" w:lineRule="exact"/>
              <w:jc w:val="center"/>
              <w:rPr>
                <w:rFonts w:ascii="宋体" w:hAnsi="宋体" w:cs="宋体"/>
                <w:b/>
                <w:sz w:val="30"/>
              </w:rPr>
            </w:pPr>
            <w:r>
              <w:rPr>
                <w:rFonts w:hint="eastAsia" w:ascii="宋体" w:hAnsi="宋体" w:cs="宋体"/>
                <w:b/>
                <w:sz w:val="30"/>
              </w:rPr>
              <w:t>法人身份证复印件（反面）</w:t>
            </w:r>
          </w:p>
        </w:tc>
        <w:tc>
          <w:tcPr>
            <w:tcW w:w="4154" w:type="dxa"/>
          </w:tcPr>
          <w:p w14:paraId="4929E112">
            <w:pPr>
              <w:spacing w:line="560" w:lineRule="exact"/>
              <w:rPr>
                <w:rFonts w:ascii="宋体" w:hAnsi="宋体" w:cs="宋体"/>
                <w:b/>
                <w:sz w:val="30"/>
              </w:rPr>
            </w:pPr>
            <w:r>
              <w:rPr>
                <w:rFonts w:hint="eastAsia" w:ascii="宋体" w:hAnsi="宋体" w:cs="宋体"/>
                <w:b/>
                <w:sz w:val="30"/>
              </w:rPr>
              <w:t>被授权人身份证复印件（反面）</w:t>
            </w:r>
          </w:p>
        </w:tc>
      </w:tr>
    </w:tbl>
    <w:p w14:paraId="7B87B466">
      <w:pPr>
        <w:pStyle w:val="75"/>
        <w:spacing w:line="600" w:lineRule="exact"/>
        <w:ind w:firstLine="630"/>
        <w:rPr>
          <w:rFonts w:ascii="宋体" w:hAnsi="宋体" w:cs="宋体"/>
          <w:sz w:val="24"/>
        </w:rPr>
      </w:pPr>
    </w:p>
    <w:p w14:paraId="2020974E">
      <w:pPr>
        <w:pStyle w:val="75"/>
        <w:spacing w:line="700" w:lineRule="exact"/>
        <w:ind w:firstLine="629"/>
        <w:rPr>
          <w:rFonts w:ascii="宋体" w:hAnsi="宋体" w:cs="宋体"/>
          <w:sz w:val="24"/>
          <w:szCs w:val="20"/>
        </w:rPr>
      </w:pPr>
      <w:r>
        <w:rPr>
          <w:rFonts w:hint="eastAsia" w:ascii="宋体" w:hAnsi="宋体" w:cs="宋体"/>
          <w:sz w:val="24"/>
          <w:szCs w:val="20"/>
        </w:rPr>
        <w:t>单位名称：</w:t>
      </w:r>
      <w:r>
        <w:rPr>
          <w:rFonts w:hint="eastAsia" w:ascii="宋体" w:hAnsi="宋体" w:cs="宋体"/>
          <w:sz w:val="24"/>
          <w:szCs w:val="20"/>
          <w:u w:val="single"/>
        </w:rPr>
        <w:t xml:space="preserve">              </w:t>
      </w:r>
      <w:r>
        <w:rPr>
          <w:rFonts w:hint="eastAsia" w:ascii="宋体" w:hAnsi="宋体" w:cs="宋体"/>
          <w:sz w:val="24"/>
          <w:szCs w:val="20"/>
        </w:rPr>
        <w:t>（公章）</w:t>
      </w:r>
    </w:p>
    <w:p w14:paraId="1D5954B1">
      <w:pPr>
        <w:pStyle w:val="75"/>
        <w:spacing w:line="700" w:lineRule="exact"/>
        <w:ind w:firstLine="629"/>
        <w:rPr>
          <w:rFonts w:ascii="宋体" w:hAnsi="宋体" w:cs="宋体"/>
          <w:sz w:val="24"/>
          <w:szCs w:val="20"/>
        </w:rPr>
      </w:pPr>
      <w:r>
        <w:rPr>
          <w:rFonts w:hint="eastAsia" w:ascii="宋体" w:hAnsi="宋体" w:cs="宋体"/>
          <w:sz w:val="24"/>
          <w:szCs w:val="20"/>
        </w:rPr>
        <w:t>法定代表人：</w:t>
      </w:r>
      <w:r>
        <w:rPr>
          <w:rFonts w:hint="eastAsia" w:ascii="宋体" w:hAnsi="宋体" w:cs="宋体"/>
          <w:sz w:val="24"/>
          <w:szCs w:val="20"/>
          <w:u w:val="single"/>
        </w:rPr>
        <w:t xml:space="preserve">            </w:t>
      </w:r>
      <w:r>
        <w:rPr>
          <w:rFonts w:hint="eastAsia" w:ascii="宋体" w:hAnsi="宋体" w:cs="宋体"/>
          <w:sz w:val="24"/>
          <w:szCs w:val="20"/>
        </w:rPr>
        <w:t>（签字或盖章）</w:t>
      </w:r>
    </w:p>
    <w:p w14:paraId="0712DD7A">
      <w:pPr>
        <w:pStyle w:val="75"/>
        <w:spacing w:line="700" w:lineRule="exact"/>
        <w:ind w:firstLine="629"/>
        <w:rPr>
          <w:rFonts w:ascii="宋体" w:hAnsi="宋体" w:cs="宋体"/>
          <w:sz w:val="24"/>
          <w:szCs w:val="20"/>
        </w:rPr>
      </w:pPr>
      <w:r>
        <w:rPr>
          <w:rFonts w:hint="eastAsia" w:ascii="宋体" w:hAnsi="宋体" w:cs="宋体"/>
          <w:sz w:val="24"/>
          <w:szCs w:val="20"/>
        </w:rPr>
        <w:t>授权代理人：</w:t>
      </w:r>
      <w:r>
        <w:rPr>
          <w:rFonts w:hint="eastAsia" w:ascii="宋体" w:hAnsi="宋体" w:cs="宋体"/>
          <w:sz w:val="24"/>
          <w:szCs w:val="20"/>
          <w:u w:val="single"/>
        </w:rPr>
        <w:t xml:space="preserve">              </w:t>
      </w:r>
      <w:r>
        <w:rPr>
          <w:rFonts w:hint="eastAsia" w:ascii="宋体" w:hAnsi="宋体" w:cs="宋体"/>
          <w:sz w:val="24"/>
          <w:szCs w:val="20"/>
        </w:rPr>
        <w:t>（签字）</w:t>
      </w:r>
    </w:p>
    <w:p w14:paraId="79C73642">
      <w:pPr>
        <w:pStyle w:val="75"/>
        <w:spacing w:line="700" w:lineRule="exact"/>
        <w:ind w:firstLine="629"/>
        <w:rPr>
          <w:rFonts w:ascii="宋体" w:hAnsi="宋体" w:cs="宋体"/>
          <w:sz w:val="24"/>
          <w:szCs w:val="20"/>
        </w:rPr>
      </w:pPr>
      <w:r>
        <w:rPr>
          <w:rFonts w:hint="eastAsia" w:ascii="宋体" w:hAnsi="宋体" w:cs="宋体"/>
          <w:sz w:val="24"/>
          <w:szCs w:val="20"/>
          <w:u w:val="single"/>
        </w:rPr>
        <w:t xml:space="preserve">     </w:t>
      </w:r>
      <w:r>
        <w:rPr>
          <w:rFonts w:hint="eastAsia" w:ascii="宋体" w:hAnsi="宋体" w:cs="宋体"/>
          <w:sz w:val="24"/>
          <w:szCs w:val="20"/>
        </w:rPr>
        <w:t>年</w:t>
      </w:r>
      <w:r>
        <w:rPr>
          <w:rFonts w:hint="eastAsia" w:ascii="宋体" w:hAnsi="宋体" w:cs="宋体"/>
          <w:sz w:val="24"/>
          <w:szCs w:val="20"/>
          <w:u w:val="single"/>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rPr>
        <w:t>日</w:t>
      </w:r>
    </w:p>
    <w:p w14:paraId="6A7970DE">
      <w:pPr>
        <w:pStyle w:val="103"/>
        <w:outlineLvl w:val="1"/>
        <w:rPr>
          <w:rFonts w:ascii="宋体" w:hAnsi="宋体" w:eastAsia="宋体" w:cs="宋体"/>
        </w:rPr>
      </w:pPr>
      <w:r>
        <w:rPr>
          <w:rFonts w:hint="eastAsia" w:ascii="宋体" w:hAnsi="宋体" w:eastAsia="宋体" w:cs="宋体"/>
        </w:rPr>
        <w:br w:type="page"/>
      </w:r>
      <w:bookmarkStart w:id="90" w:name="_Toc19074"/>
      <w:bookmarkStart w:id="91" w:name="_Toc10720"/>
      <w:r>
        <w:rPr>
          <w:rFonts w:hint="eastAsia" w:ascii="宋体" w:hAnsi="宋体" w:eastAsia="宋体" w:cs="宋体"/>
        </w:rPr>
        <w:t>三、供应商基本信息</w:t>
      </w:r>
      <w:bookmarkEnd w:id="90"/>
      <w:bookmarkEnd w:id="91"/>
    </w:p>
    <w:p w14:paraId="4FEBEE42">
      <w:pPr>
        <w:pStyle w:val="104"/>
        <w:jc w:val="center"/>
        <w:rPr>
          <w:rFonts w:ascii="宋体" w:hAnsi="宋体" w:cs="宋体"/>
          <w:sz w:val="44"/>
          <w:szCs w:val="44"/>
        </w:rPr>
      </w:pPr>
      <w:r>
        <w:rPr>
          <w:rFonts w:hint="eastAsia" w:ascii="宋体" w:hAnsi="宋体" w:cs="宋体"/>
          <w:sz w:val="44"/>
          <w:szCs w:val="44"/>
        </w:rPr>
        <w:t>供应商基本情况表</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118"/>
        <w:gridCol w:w="1276"/>
        <w:gridCol w:w="2604"/>
      </w:tblGrid>
      <w:tr w14:paraId="2285C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29202C40">
            <w:pPr>
              <w:pStyle w:val="104"/>
              <w:spacing w:line="600" w:lineRule="exact"/>
              <w:jc w:val="center"/>
              <w:rPr>
                <w:rFonts w:ascii="宋体" w:hAnsi="宋体" w:cs="宋体"/>
                <w:color w:val="000000"/>
                <w:sz w:val="24"/>
                <w:szCs w:val="24"/>
              </w:rPr>
            </w:pPr>
            <w:r>
              <w:rPr>
                <w:rFonts w:hint="eastAsia" w:ascii="宋体" w:hAnsi="宋体" w:cs="宋体"/>
                <w:color w:val="000000"/>
                <w:sz w:val="24"/>
                <w:szCs w:val="24"/>
              </w:rPr>
              <w:t>供应商名称</w:t>
            </w:r>
          </w:p>
        </w:tc>
        <w:tc>
          <w:tcPr>
            <w:tcW w:w="6998" w:type="dxa"/>
            <w:gridSpan w:val="3"/>
            <w:vAlign w:val="center"/>
          </w:tcPr>
          <w:p w14:paraId="524E57A9">
            <w:pPr>
              <w:pStyle w:val="104"/>
              <w:spacing w:line="600" w:lineRule="exact"/>
              <w:jc w:val="center"/>
              <w:rPr>
                <w:rFonts w:ascii="宋体" w:hAnsi="宋体" w:cs="宋体"/>
                <w:color w:val="000000"/>
                <w:sz w:val="24"/>
                <w:szCs w:val="24"/>
              </w:rPr>
            </w:pPr>
          </w:p>
        </w:tc>
      </w:tr>
      <w:tr w14:paraId="6F9BC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0070E235">
            <w:pPr>
              <w:pStyle w:val="104"/>
              <w:spacing w:line="600" w:lineRule="exact"/>
              <w:jc w:val="center"/>
              <w:rPr>
                <w:rFonts w:ascii="宋体" w:hAnsi="宋体" w:cs="宋体"/>
                <w:color w:val="000000"/>
                <w:sz w:val="24"/>
                <w:szCs w:val="24"/>
              </w:rPr>
            </w:pPr>
            <w:r>
              <w:rPr>
                <w:rFonts w:hint="eastAsia" w:ascii="宋体" w:hAnsi="宋体" w:cs="宋体"/>
                <w:color w:val="000000"/>
                <w:sz w:val="24"/>
                <w:szCs w:val="24"/>
              </w:rPr>
              <w:t>法定代表人</w:t>
            </w:r>
          </w:p>
        </w:tc>
        <w:tc>
          <w:tcPr>
            <w:tcW w:w="3118" w:type="dxa"/>
            <w:vAlign w:val="center"/>
          </w:tcPr>
          <w:p w14:paraId="05A2BB10">
            <w:pPr>
              <w:pStyle w:val="104"/>
              <w:spacing w:line="600" w:lineRule="exact"/>
              <w:jc w:val="center"/>
              <w:rPr>
                <w:rFonts w:ascii="宋体" w:hAnsi="宋体" w:cs="宋体"/>
                <w:color w:val="000000"/>
                <w:sz w:val="24"/>
                <w:szCs w:val="24"/>
              </w:rPr>
            </w:pPr>
          </w:p>
        </w:tc>
        <w:tc>
          <w:tcPr>
            <w:tcW w:w="1276" w:type="dxa"/>
            <w:vAlign w:val="center"/>
          </w:tcPr>
          <w:p w14:paraId="4EEF03F1">
            <w:pPr>
              <w:pStyle w:val="104"/>
              <w:spacing w:line="600" w:lineRule="exact"/>
              <w:jc w:val="center"/>
              <w:rPr>
                <w:rFonts w:ascii="宋体" w:hAnsi="宋体" w:cs="宋体"/>
                <w:color w:val="000000"/>
                <w:sz w:val="24"/>
                <w:szCs w:val="24"/>
              </w:rPr>
            </w:pPr>
            <w:r>
              <w:rPr>
                <w:rFonts w:hint="eastAsia" w:ascii="宋体" w:hAnsi="宋体" w:cs="宋体"/>
                <w:color w:val="000000"/>
                <w:sz w:val="24"/>
                <w:szCs w:val="24"/>
              </w:rPr>
              <w:t>注册地区</w:t>
            </w:r>
          </w:p>
        </w:tc>
        <w:tc>
          <w:tcPr>
            <w:tcW w:w="2604" w:type="dxa"/>
            <w:vAlign w:val="center"/>
          </w:tcPr>
          <w:p w14:paraId="4277238D">
            <w:pPr>
              <w:pStyle w:val="104"/>
              <w:spacing w:line="600" w:lineRule="exact"/>
              <w:jc w:val="center"/>
              <w:rPr>
                <w:rFonts w:ascii="宋体" w:hAnsi="宋体" w:cs="宋体"/>
                <w:color w:val="000000"/>
                <w:sz w:val="24"/>
                <w:szCs w:val="24"/>
              </w:rPr>
            </w:pPr>
          </w:p>
        </w:tc>
      </w:tr>
      <w:tr w14:paraId="606D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455B06D8">
            <w:pPr>
              <w:pStyle w:val="104"/>
              <w:spacing w:line="600" w:lineRule="exact"/>
              <w:jc w:val="center"/>
              <w:rPr>
                <w:rFonts w:ascii="宋体" w:hAnsi="宋体" w:cs="宋体"/>
                <w:color w:val="000000"/>
                <w:sz w:val="24"/>
                <w:szCs w:val="24"/>
              </w:rPr>
            </w:pPr>
            <w:r>
              <w:rPr>
                <w:rFonts w:hint="eastAsia" w:ascii="宋体" w:hAnsi="宋体" w:cs="宋体"/>
                <w:color w:val="000000"/>
                <w:sz w:val="24"/>
                <w:szCs w:val="24"/>
              </w:rPr>
              <w:t>地址</w:t>
            </w:r>
          </w:p>
        </w:tc>
        <w:tc>
          <w:tcPr>
            <w:tcW w:w="3118" w:type="dxa"/>
            <w:vAlign w:val="center"/>
          </w:tcPr>
          <w:p w14:paraId="502260EA">
            <w:pPr>
              <w:pStyle w:val="104"/>
              <w:spacing w:line="600" w:lineRule="exact"/>
              <w:jc w:val="center"/>
              <w:rPr>
                <w:rFonts w:ascii="宋体" w:hAnsi="宋体" w:cs="宋体"/>
                <w:color w:val="000000"/>
                <w:sz w:val="24"/>
                <w:szCs w:val="24"/>
              </w:rPr>
            </w:pPr>
          </w:p>
        </w:tc>
        <w:tc>
          <w:tcPr>
            <w:tcW w:w="1276" w:type="dxa"/>
            <w:vAlign w:val="center"/>
          </w:tcPr>
          <w:p w14:paraId="51ECBFAF">
            <w:pPr>
              <w:pStyle w:val="104"/>
              <w:spacing w:line="600" w:lineRule="exact"/>
              <w:jc w:val="center"/>
              <w:rPr>
                <w:rFonts w:ascii="宋体" w:hAnsi="宋体" w:cs="宋体"/>
                <w:color w:val="000000"/>
                <w:sz w:val="24"/>
                <w:szCs w:val="24"/>
              </w:rPr>
            </w:pPr>
            <w:r>
              <w:rPr>
                <w:rFonts w:hint="eastAsia" w:ascii="宋体" w:hAnsi="宋体" w:cs="宋体"/>
                <w:color w:val="000000"/>
                <w:sz w:val="24"/>
                <w:szCs w:val="24"/>
              </w:rPr>
              <w:t>邮政编码</w:t>
            </w:r>
          </w:p>
        </w:tc>
        <w:tc>
          <w:tcPr>
            <w:tcW w:w="2604" w:type="dxa"/>
            <w:vAlign w:val="center"/>
          </w:tcPr>
          <w:p w14:paraId="02826BC7">
            <w:pPr>
              <w:pStyle w:val="104"/>
              <w:spacing w:line="600" w:lineRule="exact"/>
              <w:jc w:val="center"/>
              <w:rPr>
                <w:rFonts w:ascii="宋体" w:hAnsi="宋体" w:cs="宋体"/>
                <w:color w:val="000000"/>
                <w:sz w:val="24"/>
                <w:szCs w:val="24"/>
              </w:rPr>
            </w:pPr>
          </w:p>
        </w:tc>
      </w:tr>
      <w:tr w14:paraId="16DA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5FB70BA1">
            <w:pPr>
              <w:pStyle w:val="104"/>
              <w:spacing w:line="600" w:lineRule="exact"/>
              <w:jc w:val="center"/>
              <w:rPr>
                <w:rFonts w:ascii="宋体" w:hAnsi="宋体" w:cs="宋体"/>
                <w:color w:val="000000"/>
                <w:sz w:val="24"/>
                <w:szCs w:val="24"/>
              </w:rPr>
            </w:pPr>
            <w:r>
              <w:rPr>
                <w:rFonts w:hint="eastAsia" w:ascii="宋体" w:hAnsi="宋体" w:cs="宋体"/>
                <w:color w:val="000000"/>
                <w:sz w:val="24"/>
                <w:szCs w:val="24"/>
              </w:rPr>
              <w:t>成立时间</w:t>
            </w:r>
          </w:p>
        </w:tc>
        <w:tc>
          <w:tcPr>
            <w:tcW w:w="3118" w:type="dxa"/>
            <w:vAlign w:val="center"/>
          </w:tcPr>
          <w:p w14:paraId="0C45F5E2">
            <w:pPr>
              <w:pStyle w:val="104"/>
              <w:spacing w:line="600" w:lineRule="exact"/>
              <w:jc w:val="center"/>
              <w:rPr>
                <w:rFonts w:ascii="宋体" w:hAnsi="宋体" w:cs="宋体"/>
                <w:color w:val="000000"/>
                <w:sz w:val="24"/>
                <w:szCs w:val="24"/>
              </w:rPr>
            </w:pPr>
          </w:p>
        </w:tc>
        <w:tc>
          <w:tcPr>
            <w:tcW w:w="1276" w:type="dxa"/>
            <w:vAlign w:val="center"/>
          </w:tcPr>
          <w:p w14:paraId="72F6A322">
            <w:pPr>
              <w:pStyle w:val="104"/>
              <w:spacing w:line="600" w:lineRule="exact"/>
              <w:jc w:val="center"/>
              <w:rPr>
                <w:rFonts w:ascii="宋体" w:hAnsi="宋体" w:cs="宋体"/>
                <w:color w:val="000000"/>
                <w:sz w:val="24"/>
                <w:szCs w:val="24"/>
              </w:rPr>
            </w:pPr>
            <w:r>
              <w:rPr>
                <w:rFonts w:hint="eastAsia" w:ascii="宋体" w:hAnsi="宋体" w:cs="宋体"/>
                <w:color w:val="000000"/>
                <w:sz w:val="24"/>
                <w:szCs w:val="24"/>
              </w:rPr>
              <w:t>单位性质</w:t>
            </w:r>
          </w:p>
        </w:tc>
        <w:tc>
          <w:tcPr>
            <w:tcW w:w="2604" w:type="dxa"/>
            <w:vAlign w:val="center"/>
          </w:tcPr>
          <w:p w14:paraId="7ADD4CDA">
            <w:pPr>
              <w:pStyle w:val="104"/>
              <w:spacing w:line="600" w:lineRule="exact"/>
              <w:jc w:val="center"/>
              <w:rPr>
                <w:rFonts w:ascii="宋体" w:hAnsi="宋体" w:cs="宋体"/>
                <w:color w:val="000000"/>
                <w:sz w:val="24"/>
                <w:szCs w:val="24"/>
              </w:rPr>
            </w:pPr>
          </w:p>
        </w:tc>
      </w:tr>
      <w:tr w14:paraId="78F54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5061D53F">
            <w:pPr>
              <w:pStyle w:val="104"/>
              <w:spacing w:line="600" w:lineRule="exact"/>
              <w:jc w:val="center"/>
              <w:rPr>
                <w:rFonts w:ascii="宋体" w:hAnsi="宋体" w:cs="宋体"/>
                <w:color w:val="000000"/>
                <w:sz w:val="24"/>
                <w:szCs w:val="24"/>
              </w:rPr>
            </w:pPr>
            <w:r>
              <w:rPr>
                <w:rFonts w:hint="eastAsia" w:ascii="宋体" w:hAnsi="宋体" w:cs="宋体"/>
                <w:color w:val="000000"/>
                <w:sz w:val="24"/>
                <w:szCs w:val="24"/>
              </w:rPr>
              <w:t>注册号或社会信用代码</w:t>
            </w:r>
          </w:p>
        </w:tc>
        <w:tc>
          <w:tcPr>
            <w:tcW w:w="3118" w:type="dxa"/>
            <w:vAlign w:val="center"/>
          </w:tcPr>
          <w:p w14:paraId="543EBBD6">
            <w:pPr>
              <w:pStyle w:val="104"/>
              <w:spacing w:line="600" w:lineRule="exact"/>
              <w:jc w:val="center"/>
              <w:rPr>
                <w:rFonts w:ascii="宋体" w:hAnsi="宋体" w:cs="宋体"/>
                <w:color w:val="000000"/>
                <w:sz w:val="24"/>
                <w:szCs w:val="24"/>
              </w:rPr>
            </w:pPr>
          </w:p>
        </w:tc>
        <w:tc>
          <w:tcPr>
            <w:tcW w:w="1276" w:type="dxa"/>
            <w:vAlign w:val="center"/>
          </w:tcPr>
          <w:p w14:paraId="05B8D471">
            <w:pPr>
              <w:pStyle w:val="104"/>
              <w:spacing w:line="600" w:lineRule="exact"/>
              <w:jc w:val="center"/>
              <w:rPr>
                <w:rFonts w:ascii="宋体" w:hAnsi="宋体" w:cs="宋体"/>
                <w:color w:val="000000"/>
                <w:sz w:val="24"/>
                <w:szCs w:val="24"/>
              </w:rPr>
            </w:pPr>
            <w:r>
              <w:rPr>
                <w:rFonts w:hint="eastAsia" w:ascii="宋体" w:hAnsi="宋体" w:cs="宋体"/>
                <w:color w:val="000000"/>
                <w:sz w:val="24"/>
                <w:szCs w:val="24"/>
              </w:rPr>
              <w:t>注册资本（万元）</w:t>
            </w:r>
          </w:p>
        </w:tc>
        <w:tc>
          <w:tcPr>
            <w:tcW w:w="2604" w:type="dxa"/>
            <w:vAlign w:val="center"/>
          </w:tcPr>
          <w:p w14:paraId="1EBAA268">
            <w:pPr>
              <w:pStyle w:val="104"/>
              <w:spacing w:line="600" w:lineRule="exact"/>
              <w:jc w:val="center"/>
              <w:rPr>
                <w:rFonts w:ascii="宋体" w:hAnsi="宋体" w:cs="宋体"/>
                <w:color w:val="000000"/>
                <w:sz w:val="24"/>
                <w:szCs w:val="24"/>
              </w:rPr>
            </w:pPr>
          </w:p>
        </w:tc>
      </w:tr>
      <w:tr w14:paraId="6EE7B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73EB37E1">
            <w:pPr>
              <w:pStyle w:val="104"/>
              <w:spacing w:line="600" w:lineRule="exact"/>
              <w:jc w:val="center"/>
              <w:rPr>
                <w:rFonts w:ascii="宋体" w:hAnsi="宋体" w:cs="宋体"/>
                <w:color w:val="000000"/>
                <w:sz w:val="24"/>
                <w:szCs w:val="24"/>
              </w:rPr>
            </w:pPr>
            <w:r>
              <w:rPr>
                <w:rFonts w:hint="eastAsia" w:ascii="宋体" w:hAnsi="宋体" w:cs="宋体"/>
                <w:color w:val="000000"/>
                <w:sz w:val="24"/>
                <w:szCs w:val="24"/>
              </w:rPr>
              <w:t>供应商类别</w:t>
            </w:r>
          </w:p>
        </w:tc>
        <w:tc>
          <w:tcPr>
            <w:tcW w:w="3118" w:type="dxa"/>
            <w:vAlign w:val="center"/>
          </w:tcPr>
          <w:p w14:paraId="21CBB93D">
            <w:pPr>
              <w:pStyle w:val="104"/>
              <w:spacing w:line="600" w:lineRule="exact"/>
              <w:jc w:val="center"/>
              <w:rPr>
                <w:rFonts w:ascii="宋体" w:hAnsi="宋体" w:cs="宋体"/>
                <w:color w:val="000000"/>
                <w:sz w:val="24"/>
                <w:szCs w:val="24"/>
              </w:rPr>
            </w:pPr>
          </w:p>
        </w:tc>
        <w:tc>
          <w:tcPr>
            <w:tcW w:w="1276" w:type="dxa"/>
            <w:vAlign w:val="center"/>
          </w:tcPr>
          <w:p w14:paraId="1F8E0E70">
            <w:pPr>
              <w:pStyle w:val="104"/>
              <w:spacing w:line="600" w:lineRule="exact"/>
              <w:jc w:val="center"/>
              <w:rPr>
                <w:rFonts w:ascii="宋体" w:hAnsi="宋体" w:cs="宋体"/>
                <w:color w:val="000000"/>
                <w:sz w:val="24"/>
                <w:szCs w:val="24"/>
              </w:rPr>
            </w:pPr>
            <w:r>
              <w:rPr>
                <w:rFonts w:hint="eastAsia" w:ascii="宋体" w:hAnsi="宋体" w:cs="宋体"/>
                <w:color w:val="000000"/>
                <w:sz w:val="24"/>
                <w:szCs w:val="24"/>
              </w:rPr>
              <w:t>诚信等级</w:t>
            </w:r>
          </w:p>
        </w:tc>
        <w:tc>
          <w:tcPr>
            <w:tcW w:w="2604" w:type="dxa"/>
            <w:vAlign w:val="center"/>
          </w:tcPr>
          <w:p w14:paraId="27CC97C9">
            <w:pPr>
              <w:pStyle w:val="104"/>
              <w:spacing w:line="600" w:lineRule="exact"/>
              <w:jc w:val="center"/>
              <w:rPr>
                <w:rFonts w:ascii="宋体" w:hAnsi="宋体" w:cs="宋体"/>
                <w:color w:val="000000"/>
                <w:sz w:val="24"/>
                <w:szCs w:val="24"/>
              </w:rPr>
            </w:pPr>
          </w:p>
        </w:tc>
      </w:tr>
      <w:tr w14:paraId="3C75B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4B5357A6">
            <w:pPr>
              <w:pStyle w:val="104"/>
              <w:spacing w:line="600" w:lineRule="exact"/>
              <w:jc w:val="center"/>
              <w:rPr>
                <w:rFonts w:ascii="宋体" w:hAnsi="宋体" w:cs="宋体"/>
                <w:color w:val="000000"/>
                <w:sz w:val="24"/>
                <w:szCs w:val="24"/>
              </w:rPr>
            </w:pPr>
            <w:r>
              <w:rPr>
                <w:rFonts w:hint="eastAsia" w:ascii="宋体" w:hAnsi="宋体" w:cs="宋体"/>
                <w:color w:val="000000"/>
                <w:sz w:val="24"/>
                <w:szCs w:val="24"/>
              </w:rPr>
              <w:t>开户银行</w:t>
            </w:r>
          </w:p>
        </w:tc>
        <w:tc>
          <w:tcPr>
            <w:tcW w:w="3118" w:type="dxa"/>
            <w:vAlign w:val="center"/>
          </w:tcPr>
          <w:p w14:paraId="575665A0">
            <w:pPr>
              <w:pStyle w:val="104"/>
              <w:spacing w:line="600" w:lineRule="exact"/>
              <w:jc w:val="center"/>
              <w:rPr>
                <w:rFonts w:ascii="宋体" w:hAnsi="宋体" w:cs="宋体"/>
                <w:color w:val="000000"/>
                <w:sz w:val="24"/>
                <w:szCs w:val="24"/>
              </w:rPr>
            </w:pPr>
          </w:p>
        </w:tc>
        <w:tc>
          <w:tcPr>
            <w:tcW w:w="1276" w:type="dxa"/>
            <w:vAlign w:val="center"/>
          </w:tcPr>
          <w:p w14:paraId="2885A1AA">
            <w:pPr>
              <w:pStyle w:val="104"/>
              <w:spacing w:line="600" w:lineRule="exact"/>
              <w:jc w:val="center"/>
              <w:rPr>
                <w:rFonts w:ascii="宋体" w:hAnsi="宋体" w:cs="宋体"/>
                <w:color w:val="000000"/>
                <w:sz w:val="24"/>
                <w:szCs w:val="24"/>
              </w:rPr>
            </w:pPr>
            <w:r>
              <w:rPr>
                <w:rFonts w:hint="eastAsia" w:ascii="宋体" w:hAnsi="宋体" w:cs="宋体"/>
                <w:color w:val="000000"/>
                <w:sz w:val="24"/>
                <w:szCs w:val="24"/>
              </w:rPr>
              <w:t>账号</w:t>
            </w:r>
          </w:p>
        </w:tc>
        <w:tc>
          <w:tcPr>
            <w:tcW w:w="2604" w:type="dxa"/>
            <w:vAlign w:val="center"/>
          </w:tcPr>
          <w:p w14:paraId="2997B7DF">
            <w:pPr>
              <w:pStyle w:val="104"/>
              <w:spacing w:line="600" w:lineRule="exact"/>
              <w:jc w:val="center"/>
              <w:rPr>
                <w:rFonts w:ascii="宋体" w:hAnsi="宋体" w:cs="宋体"/>
                <w:color w:val="000000"/>
                <w:sz w:val="24"/>
                <w:szCs w:val="24"/>
              </w:rPr>
            </w:pPr>
          </w:p>
        </w:tc>
      </w:tr>
      <w:tr w14:paraId="37E00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0B6ACA16">
            <w:pPr>
              <w:pStyle w:val="104"/>
              <w:spacing w:line="600" w:lineRule="exact"/>
              <w:jc w:val="center"/>
              <w:rPr>
                <w:rFonts w:ascii="宋体" w:hAnsi="宋体" w:cs="宋体"/>
                <w:color w:val="000000"/>
                <w:sz w:val="24"/>
                <w:szCs w:val="24"/>
              </w:rPr>
            </w:pPr>
            <w:r>
              <w:rPr>
                <w:rFonts w:hint="eastAsia" w:ascii="宋体" w:hAnsi="宋体" w:cs="宋体"/>
                <w:color w:val="000000"/>
                <w:sz w:val="24"/>
                <w:szCs w:val="24"/>
              </w:rPr>
              <w:t>联系人</w:t>
            </w:r>
          </w:p>
        </w:tc>
        <w:tc>
          <w:tcPr>
            <w:tcW w:w="3118" w:type="dxa"/>
            <w:vAlign w:val="center"/>
          </w:tcPr>
          <w:p w14:paraId="1AD773AE">
            <w:pPr>
              <w:pStyle w:val="104"/>
              <w:spacing w:line="600" w:lineRule="exact"/>
              <w:jc w:val="center"/>
              <w:rPr>
                <w:rFonts w:ascii="宋体" w:hAnsi="宋体" w:cs="宋体"/>
                <w:color w:val="000000"/>
                <w:sz w:val="24"/>
                <w:szCs w:val="24"/>
              </w:rPr>
            </w:pPr>
          </w:p>
        </w:tc>
        <w:tc>
          <w:tcPr>
            <w:tcW w:w="1276" w:type="dxa"/>
            <w:vAlign w:val="center"/>
          </w:tcPr>
          <w:p w14:paraId="567D8AD7">
            <w:pPr>
              <w:pStyle w:val="104"/>
              <w:spacing w:line="600" w:lineRule="exact"/>
              <w:jc w:val="center"/>
              <w:rPr>
                <w:rFonts w:ascii="宋体" w:hAnsi="宋体" w:cs="宋体"/>
                <w:color w:val="000000"/>
                <w:sz w:val="24"/>
                <w:szCs w:val="24"/>
              </w:rPr>
            </w:pPr>
            <w:r>
              <w:rPr>
                <w:rFonts w:hint="eastAsia" w:ascii="宋体" w:hAnsi="宋体" w:cs="宋体"/>
                <w:color w:val="000000"/>
                <w:sz w:val="24"/>
                <w:szCs w:val="24"/>
              </w:rPr>
              <w:t>联系电话</w:t>
            </w:r>
          </w:p>
        </w:tc>
        <w:tc>
          <w:tcPr>
            <w:tcW w:w="2604" w:type="dxa"/>
            <w:vAlign w:val="center"/>
          </w:tcPr>
          <w:p w14:paraId="29442F87">
            <w:pPr>
              <w:pStyle w:val="104"/>
              <w:spacing w:line="600" w:lineRule="exact"/>
              <w:jc w:val="center"/>
              <w:rPr>
                <w:rFonts w:ascii="宋体" w:hAnsi="宋体" w:cs="宋体"/>
                <w:color w:val="000000"/>
                <w:sz w:val="24"/>
                <w:szCs w:val="24"/>
              </w:rPr>
            </w:pPr>
          </w:p>
        </w:tc>
      </w:tr>
      <w:tr w14:paraId="6217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1526" w:type="dxa"/>
            <w:vAlign w:val="center"/>
          </w:tcPr>
          <w:p w14:paraId="280E9856">
            <w:pPr>
              <w:pStyle w:val="104"/>
              <w:spacing w:line="560" w:lineRule="exact"/>
              <w:jc w:val="center"/>
              <w:rPr>
                <w:rFonts w:ascii="宋体" w:hAnsi="宋体" w:cs="宋体"/>
                <w:color w:val="000000"/>
                <w:sz w:val="24"/>
                <w:szCs w:val="24"/>
              </w:rPr>
            </w:pPr>
            <w:r>
              <w:rPr>
                <w:rFonts w:hint="eastAsia" w:ascii="宋体" w:hAnsi="宋体" w:cs="宋体"/>
                <w:color w:val="000000"/>
                <w:sz w:val="24"/>
                <w:szCs w:val="24"/>
              </w:rPr>
              <w:t>经营范围</w:t>
            </w:r>
          </w:p>
        </w:tc>
        <w:tc>
          <w:tcPr>
            <w:tcW w:w="6998" w:type="dxa"/>
            <w:gridSpan w:val="3"/>
          </w:tcPr>
          <w:p w14:paraId="52F6D35D">
            <w:pPr>
              <w:pStyle w:val="104"/>
              <w:spacing w:line="560" w:lineRule="exact"/>
              <w:ind w:firstLine="1430" w:firstLineChars="596"/>
              <w:rPr>
                <w:rFonts w:ascii="宋体" w:hAnsi="宋体" w:cs="宋体"/>
                <w:color w:val="000000"/>
                <w:sz w:val="24"/>
                <w:szCs w:val="24"/>
              </w:rPr>
            </w:pPr>
          </w:p>
        </w:tc>
      </w:tr>
      <w:tr w14:paraId="36F3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26" w:type="dxa"/>
            <w:vAlign w:val="center"/>
          </w:tcPr>
          <w:p w14:paraId="38905891">
            <w:pPr>
              <w:pStyle w:val="104"/>
              <w:spacing w:line="560" w:lineRule="exact"/>
              <w:jc w:val="center"/>
              <w:rPr>
                <w:rFonts w:ascii="宋体" w:hAnsi="宋体" w:cs="宋体"/>
                <w:color w:val="000000"/>
                <w:sz w:val="24"/>
                <w:szCs w:val="24"/>
              </w:rPr>
            </w:pPr>
            <w:r>
              <w:rPr>
                <w:rFonts w:hint="eastAsia" w:ascii="宋体" w:hAnsi="宋体" w:cs="宋体"/>
                <w:color w:val="000000"/>
                <w:sz w:val="24"/>
                <w:szCs w:val="24"/>
              </w:rPr>
              <w:t>备注</w:t>
            </w:r>
          </w:p>
        </w:tc>
        <w:tc>
          <w:tcPr>
            <w:tcW w:w="6998" w:type="dxa"/>
            <w:gridSpan w:val="3"/>
            <w:vAlign w:val="center"/>
          </w:tcPr>
          <w:p w14:paraId="14A271C5">
            <w:pPr>
              <w:pStyle w:val="104"/>
              <w:spacing w:line="500" w:lineRule="exact"/>
              <w:jc w:val="center"/>
              <w:rPr>
                <w:rFonts w:ascii="宋体" w:hAnsi="宋体" w:cs="宋体"/>
                <w:color w:val="000000"/>
                <w:sz w:val="24"/>
                <w:szCs w:val="24"/>
              </w:rPr>
            </w:pPr>
          </w:p>
        </w:tc>
      </w:tr>
    </w:tbl>
    <w:p w14:paraId="2D7CA98D">
      <w:pPr>
        <w:pStyle w:val="104"/>
        <w:spacing w:line="600" w:lineRule="exact"/>
        <w:jc w:val="left"/>
        <w:rPr>
          <w:rFonts w:ascii="宋体" w:hAnsi="宋体" w:cs="宋体"/>
          <w:color w:val="000000"/>
          <w:sz w:val="24"/>
          <w:szCs w:val="24"/>
        </w:rPr>
      </w:pPr>
      <w:r>
        <w:rPr>
          <w:rFonts w:hint="eastAsia" w:ascii="宋体" w:hAnsi="宋体" w:cs="宋体"/>
          <w:color w:val="000000"/>
          <w:sz w:val="24"/>
          <w:szCs w:val="24"/>
        </w:rPr>
        <w:t>注：供应商应在本表后附《营业执照副本》等相关证明材料。</w:t>
      </w:r>
    </w:p>
    <w:p w14:paraId="228141CB">
      <w:pPr>
        <w:pStyle w:val="104"/>
        <w:spacing w:line="560" w:lineRule="exact"/>
        <w:rPr>
          <w:rFonts w:ascii="宋体" w:hAnsi="宋体" w:cs="宋体"/>
          <w:color w:val="000000"/>
          <w:sz w:val="28"/>
          <w:szCs w:val="28"/>
          <w:u w:val="single"/>
        </w:rPr>
      </w:pPr>
    </w:p>
    <w:p w14:paraId="53C5CBBB">
      <w:pPr>
        <w:pStyle w:val="105"/>
        <w:outlineLvl w:val="1"/>
        <w:rPr>
          <w:rFonts w:ascii="宋体" w:hAnsi="宋体" w:eastAsia="宋体" w:cs="宋体"/>
        </w:rPr>
      </w:pPr>
      <w:r>
        <w:rPr>
          <w:rFonts w:hint="eastAsia" w:ascii="宋体" w:hAnsi="宋体" w:eastAsia="宋体" w:cs="宋体"/>
        </w:rPr>
        <w:br w:type="page"/>
      </w:r>
      <w:bookmarkStart w:id="92" w:name="_Toc5024"/>
      <w:bookmarkStart w:id="93" w:name="_Toc158"/>
      <w:r>
        <w:rPr>
          <w:rFonts w:hint="eastAsia" w:ascii="宋体" w:hAnsi="宋体" w:eastAsia="宋体" w:cs="宋体"/>
        </w:rPr>
        <w:t>四、报价一览表</w:t>
      </w:r>
      <w:bookmarkEnd w:id="92"/>
      <w:bookmarkEnd w:id="93"/>
    </w:p>
    <w:p w14:paraId="6625AD9B">
      <w:pPr>
        <w:pStyle w:val="106"/>
        <w:spacing w:line="500" w:lineRule="exact"/>
        <w:rPr>
          <w:rFonts w:ascii="宋体" w:hAnsi="宋体" w:eastAsia="宋体" w:cs="宋体"/>
        </w:rPr>
      </w:pPr>
      <w:r>
        <w:rPr>
          <w:rFonts w:hint="eastAsia" w:ascii="宋体" w:hAnsi="宋体" w:eastAsia="宋体" w:cs="宋体"/>
        </w:rPr>
        <w:t>项目编号：</w:t>
      </w:r>
    </w:p>
    <w:p w14:paraId="4E8209FF">
      <w:pPr>
        <w:spacing w:line="500" w:lineRule="exact"/>
        <w:rPr>
          <w:rFonts w:ascii="宋体" w:hAnsi="宋体" w:cs="宋体"/>
          <w:sz w:val="24"/>
        </w:rPr>
      </w:pPr>
      <w:r>
        <w:rPr>
          <w:rFonts w:hint="eastAsia" w:ascii="宋体" w:hAnsi="宋体" w:cs="宋体"/>
          <w:kern w:val="0"/>
          <w:sz w:val="24"/>
        </w:rPr>
        <w:t>项目名称：</w:t>
      </w:r>
    </w:p>
    <w:p w14:paraId="6DC64AAF">
      <w:pPr>
        <w:pStyle w:val="106"/>
        <w:spacing w:line="500" w:lineRule="exact"/>
        <w:rPr>
          <w:rFonts w:ascii="宋体" w:hAnsi="宋体" w:eastAsia="宋体" w:cs="宋体"/>
        </w:rPr>
      </w:pPr>
      <w:r>
        <w:rPr>
          <w:rFonts w:hint="eastAsia" w:ascii="宋体" w:hAnsi="宋体" w:eastAsia="宋体" w:cs="宋体"/>
        </w:rPr>
        <w:t xml:space="preserve"> </w:t>
      </w:r>
    </w:p>
    <w:p w14:paraId="6B2C0D9D">
      <w:pPr>
        <w:pStyle w:val="107"/>
        <w:rPr>
          <w:rFonts w:ascii="宋体" w:hAnsi="宋体" w:eastAsia="宋体" w:cs="宋体"/>
        </w:rPr>
      </w:pPr>
      <w:r>
        <w:rPr>
          <w:rFonts w:hint="eastAsia" w:ascii="宋体" w:hAnsi="宋体" w:eastAsia="宋体" w:cs="宋体"/>
        </w:rPr>
        <w:t xml:space="preserv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1318"/>
        <w:gridCol w:w="4722"/>
      </w:tblGrid>
      <w:tr w14:paraId="7304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020" w:type="dxa"/>
            <w:vAlign w:val="center"/>
          </w:tcPr>
          <w:p w14:paraId="14132B8F">
            <w:pPr>
              <w:pStyle w:val="108"/>
              <w:jc w:val="center"/>
              <w:rPr>
                <w:rFonts w:ascii="宋体" w:hAnsi="宋体" w:eastAsia="宋体" w:cs="宋体"/>
                <w:bCs/>
                <w:sz w:val="24"/>
              </w:rPr>
            </w:pPr>
            <w:bookmarkStart w:id="94" w:name="_Toc28082"/>
            <w:r>
              <w:rPr>
                <w:rFonts w:hint="eastAsia" w:ascii="宋体" w:hAnsi="宋体" w:eastAsia="宋体" w:cs="宋体"/>
                <w:bCs/>
                <w:sz w:val="24"/>
              </w:rPr>
              <w:t>标题</w:t>
            </w:r>
            <w:bookmarkEnd w:id="94"/>
          </w:p>
        </w:tc>
        <w:tc>
          <w:tcPr>
            <w:tcW w:w="1318" w:type="dxa"/>
            <w:vAlign w:val="center"/>
          </w:tcPr>
          <w:p w14:paraId="3E7AD99A">
            <w:pPr>
              <w:pStyle w:val="108"/>
              <w:jc w:val="center"/>
              <w:rPr>
                <w:rFonts w:ascii="宋体" w:hAnsi="宋体" w:eastAsia="宋体" w:cs="宋体"/>
                <w:bCs/>
                <w:sz w:val="24"/>
              </w:rPr>
            </w:pPr>
            <w:bookmarkStart w:id="95" w:name="_Toc4030"/>
            <w:r>
              <w:rPr>
                <w:rFonts w:hint="eastAsia" w:ascii="宋体" w:hAnsi="宋体" w:eastAsia="宋体" w:cs="宋体"/>
                <w:bCs/>
                <w:sz w:val="24"/>
              </w:rPr>
              <w:t>单位</w:t>
            </w:r>
            <w:bookmarkEnd w:id="95"/>
          </w:p>
        </w:tc>
        <w:tc>
          <w:tcPr>
            <w:tcW w:w="4722" w:type="dxa"/>
            <w:vAlign w:val="center"/>
          </w:tcPr>
          <w:p w14:paraId="09FABBD2">
            <w:pPr>
              <w:pStyle w:val="108"/>
              <w:jc w:val="center"/>
              <w:rPr>
                <w:rFonts w:ascii="宋体" w:hAnsi="宋体" w:eastAsia="宋体" w:cs="宋体"/>
                <w:bCs/>
                <w:sz w:val="24"/>
              </w:rPr>
            </w:pPr>
            <w:bookmarkStart w:id="96" w:name="_Toc30258"/>
            <w:r>
              <w:rPr>
                <w:rFonts w:hint="eastAsia" w:ascii="宋体" w:hAnsi="宋体" w:eastAsia="宋体" w:cs="宋体"/>
                <w:bCs/>
                <w:sz w:val="24"/>
              </w:rPr>
              <w:t>内容</w:t>
            </w:r>
            <w:bookmarkEnd w:id="96"/>
          </w:p>
        </w:tc>
      </w:tr>
      <w:tr w14:paraId="6208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020" w:type="dxa"/>
            <w:vAlign w:val="center"/>
          </w:tcPr>
          <w:p w14:paraId="7EE869DB">
            <w:pPr>
              <w:pStyle w:val="108"/>
              <w:jc w:val="center"/>
              <w:rPr>
                <w:rFonts w:ascii="宋体" w:hAnsi="宋体" w:eastAsia="宋体" w:cs="宋体"/>
                <w:b w:val="0"/>
                <w:sz w:val="24"/>
              </w:rPr>
            </w:pPr>
            <w:bookmarkStart w:id="97" w:name="_Toc953"/>
            <w:r>
              <w:rPr>
                <w:rFonts w:hint="eastAsia" w:ascii="宋体" w:hAnsi="宋体" w:eastAsia="宋体" w:cs="宋体"/>
                <w:b w:val="0"/>
                <w:sz w:val="24"/>
              </w:rPr>
              <w:t>报价</w:t>
            </w:r>
            <w:bookmarkEnd w:id="97"/>
          </w:p>
        </w:tc>
        <w:tc>
          <w:tcPr>
            <w:tcW w:w="1318" w:type="dxa"/>
            <w:vAlign w:val="center"/>
          </w:tcPr>
          <w:p w14:paraId="3531EEAB">
            <w:pPr>
              <w:pStyle w:val="108"/>
              <w:jc w:val="center"/>
              <w:rPr>
                <w:rFonts w:ascii="宋体" w:hAnsi="宋体" w:eastAsia="宋体" w:cs="宋体"/>
                <w:b w:val="0"/>
                <w:sz w:val="24"/>
              </w:rPr>
            </w:pPr>
            <w:bookmarkStart w:id="98" w:name="_Toc25711"/>
            <w:r>
              <w:rPr>
                <w:rFonts w:hint="eastAsia" w:ascii="宋体" w:hAnsi="宋体" w:eastAsia="宋体" w:cs="宋体"/>
                <w:b w:val="0"/>
                <w:sz w:val="24"/>
              </w:rPr>
              <w:t>元</w:t>
            </w:r>
            <w:bookmarkEnd w:id="98"/>
          </w:p>
        </w:tc>
        <w:tc>
          <w:tcPr>
            <w:tcW w:w="4722" w:type="dxa"/>
            <w:vAlign w:val="center"/>
          </w:tcPr>
          <w:p w14:paraId="579DF68D">
            <w:pPr>
              <w:pStyle w:val="108"/>
              <w:jc w:val="center"/>
              <w:rPr>
                <w:rFonts w:ascii="宋体" w:hAnsi="宋体" w:eastAsia="宋体" w:cs="宋体"/>
                <w:b w:val="0"/>
                <w:sz w:val="24"/>
              </w:rPr>
            </w:pPr>
          </w:p>
        </w:tc>
      </w:tr>
      <w:tr w14:paraId="6926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020" w:type="dxa"/>
            <w:vAlign w:val="center"/>
          </w:tcPr>
          <w:p w14:paraId="79BCF966">
            <w:pPr>
              <w:pStyle w:val="108"/>
              <w:jc w:val="center"/>
              <w:rPr>
                <w:rFonts w:ascii="宋体" w:hAnsi="宋体" w:eastAsia="宋体" w:cs="宋体"/>
                <w:b w:val="0"/>
                <w:sz w:val="24"/>
              </w:rPr>
            </w:pPr>
            <w:r>
              <w:rPr>
                <w:rFonts w:hint="eastAsia" w:ascii="宋体" w:hAnsi="宋体" w:eastAsia="宋体" w:cs="宋体"/>
                <w:b w:val="0"/>
                <w:bCs/>
                <w:sz w:val="24"/>
              </w:rPr>
              <w:t>服务期限</w:t>
            </w:r>
          </w:p>
        </w:tc>
        <w:tc>
          <w:tcPr>
            <w:tcW w:w="1318" w:type="dxa"/>
            <w:vAlign w:val="center"/>
          </w:tcPr>
          <w:p w14:paraId="61B8AD3F">
            <w:pPr>
              <w:pStyle w:val="108"/>
              <w:jc w:val="center"/>
              <w:rPr>
                <w:rFonts w:ascii="宋体" w:hAnsi="宋体" w:eastAsia="宋体" w:cs="宋体"/>
                <w:b w:val="0"/>
                <w:sz w:val="24"/>
              </w:rPr>
            </w:pPr>
            <w:r>
              <w:rPr>
                <w:rFonts w:hint="eastAsia" w:ascii="宋体" w:hAnsi="宋体" w:eastAsia="宋体" w:cs="宋体"/>
                <w:b w:val="0"/>
                <w:sz w:val="24"/>
              </w:rPr>
              <w:t>年</w:t>
            </w:r>
          </w:p>
        </w:tc>
        <w:tc>
          <w:tcPr>
            <w:tcW w:w="4722" w:type="dxa"/>
            <w:vAlign w:val="center"/>
          </w:tcPr>
          <w:p w14:paraId="04DB3902">
            <w:pPr>
              <w:pStyle w:val="108"/>
              <w:jc w:val="center"/>
              <w:rPr>
                <w:rFonts w:ascii="宋体" w:hAnsi="宋体" w:eastAsia="宋体" w:cs="宋体"/>
                <w:b w:val="0"/>
                <w:sz w:val="24"/>
              </w:rPr>
            </w:pPr>
          </w:p>
        </w:tc>
      </w:tr>
      <w:tr w14:paraId="374AE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020" w:type="dxa"/>
            <w:vAlign w:val="center"/>
          </w:tcPr>
          <w:p w14:paraId="04EAB126">
            <w:pPr>
              <w:pStyle w:val="108"/>
              <w:jc w:val="center"/>
              <w:rPr>
                <w:rFonts w:ascii="宋体" w:hAnsi="宋体" w:eastAsia="宋体" w:cs="宋体"/>
                <w:b w:val="0"/>
                <w:sz w:val="24"/>
              </w:rPr>
            </w:pPr>
            <w:r>
              <w:rPr>
                <w:rFonts w:hint="eastAsia" w:ascii="宋体" w:hAnsi="宋体" w:eastAsia="宋体" w:cs="宋体"/>
                <w:b w:val="0"/>
                <w:bCs/>
                <w:sz w:val="24"/>
              </w:rPr>
              <w:t>质量要求</w:t>
            </w:r>
          </w:p>
        </w:tc>
        <w:tc>
          <w:tcPr>
            <w:tcW w:w="1318" w:type="dxa"/>
            <w:vAlign w:val="center"/>
          </w:tcPr>
          <w:p w14:paraId="3A9AC1B7">
            <w:pPr>
              <w:pStyle w:val="108"/>
              <w:jc w:val="center"/>
              <w:rPr>
                <w:rFonts w:ascii="宋体" w:hAnsi="宋体" w:eastAsia="宋体" w:cs="宋体"/>
                <w:b w:val="0"/>
                <w:sz w:val="24"/>
              </w:rPr>
            </w:pPr>
            <w:bookmarkStart w:id="99" w:name="_Toc271"/>
            <w:r>
              <w:rPr>
                <w:rFonts w:hint="eastAsia" w:ascii="宋体" w:hAnsi="宋体" w:eastAsia="宋体" w:cs="宋体"/>
                <w:b w:val="0"/>
                <w:sz w:val="24"/>
              </w:rPr>
              <w:t>/</w:t>
            </w:r>
            <w:bookmarkEnd w:id="99"/>
          </w:p>
        </w:tc>
        <w:tc>
          <w:tcPr>
            <w:tcW w:w="4722" w:type="dxa"/>
            <w:vAlign w:val="center"/>
          </w:tcPr>
          <w:p w14:paraId="5E066B2F">
            <w:pPr>
              <w:pStyle w:val="108"/>
              <w:jc w:val="center"/>
              <w:rPr>
                <w:rFonts w:ascii="宋体" w:hAnsi="宋体" w:eastAsia="宋体" w:cs="宋体"/>
                <w:b w:val="0"/>
                <w:sz w:val="24"/>
              </w:rPr>
            </w:pPr>
          </w:p>
        </w:tc>
      </w:tr>
      <w:tr w14:paraId="1FE39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020" w:type="dxa"/>
            <w:vAlign w:val="center"/>
          </w:tcPr>
          <w:p w14:paraId="4F3B80C7">
            <w:pPr>
              <w:pStyle w:val="108"/>
              <w:jc w:val="center"/>
              <w:rPr>
                <w:rFonts w:ascii="宋体" w:hAnsi="宋体" w:eastAsia="宋体" w:cs="宋体"/>
                <w:b w:val="0"/>
                <w:sz w:val="24"/>
              </w:rPr>
            </w:pPr>
            <w:bookmarkStart w:id="100" w:name="_Toc10453"/>
            <w:r>
              <w:rPr>
                <w:rFonts w:hint="eastAsia" w:ascii="宋体" w:hAnsi="宋体" w:eastAsia="宋体" w:cs="宋体"/>
                <w:b w:val="0"/>
                <w:sz w:val="24"/>
              </w:rPr>
              <w:t>备注</w:t>
            </w:r>
            <w:bookmarkEnd w:id="100"/>
          </w:p>
        </w:tc>
        <w:tc>
          <w:tcPr>
            <w:tcW w:w="1318" w:type="dxa"/>
            <w:vAlign w:val="center"/>
          </w:tcPr>
          <w:p w14:paraId="38C8217E">
            <w:pPr>
              <w:pStyle w:val="108"/>
              <w:jc w:val="center"/>
              <w:rPr>
                <w:rFonts w:ascii="宋体" w:hAnsi="宋体" w:eastAsia="宋体" w:cs="宋体"/>
                <w:b w:val="0"/>
                <w:sz w:val="24"/>
              </w:rPr>
            </w:pPr>
            <w:bookmarkStart w:id="101" w:name="_Toc23006"/>
            <w:r>
              <w:rPr>
                <w:rFonts w:hint="eastAsia" w:ascii="宋体" w:hAnsi="宋体" w:eastAsia="宋体" w:cs="宋体"/>
                <w:b w:val="0"/>
                <w:sz w:val="24"/>
              </w:rPr>
              <w:t>/</w:t>
            </w:r>
            <w:bookmarkEnd w:id="101"/>
          </w:p>
        </w:tc>
        <w:tc>
          <w:tcPr>
            <w:tcW w:w="4722" w:type="dxa"/>
            <w:vAlign w:val="center"/>
          </w:tcPr>
          <w:p w14:paraId="70B9B863">
            <w:pPr>
              <w:pStyle w:val="108"/>
              <w:jc w:val="center"/>
              <w:rPr>
                <w:rFonts w:ascii="宋体" w:hAnsi="宋体" w:eastAsia="宋体" w:cs="宋体"/>
                <w:b w:val="0"/>
                <w:sz w:val="24"/>
              </w:rPr>
            </w:pPr>
          </w:p>
        </w:tc>
      </w:tr>
    </w:tbl>
    <w:p w14:paraId="0592E5F1">
      <w:pPr>
        <w:pStyle w:val="107"/>
        <w:rPr>
          <w:rFonts w:ascii="宋体" w:hAnsi="宋体" w:eastAsia="宋体" w:cs="宋体"/>
        </w:rPr>
      </w:pPr>
      <w:bookmarkStart w:id="102" w:name="_Toc22104"/>
      <w:bookmarkStart w:id="103" w:name="_Toc16410"/>
      <w:bookmarkStart w:id="104" w:name="_Toc493236035"/>
      <w:bookmarkStart w:id="105" w:name="_Toc8751"/>
      <w:bookmarkStart w:id="106" w:name="_Toc336"/>
      <w:bookmarkStart w:id="107" w:name="_Toc5175"/>
    </w:p>
    <w:p w14:paraId="6F8C1308">
      <w:pPr>
        <w:pStyle w:val="107"/>
        <w:rPr>
          <w:rFonts w:ascii="宋体" w:hAnsi="宋体" w:eastAsia="宋体" w:cs="宋体"/>
        </w:rPr>
      </w:pPr>
    </w:p>
    <w:p w14:paraId="6BC31ADB">
      <w:pPr>
        <w:pStyle w:val="107"/>
        <w:rPr>
          <w:rFonts w:ascii="宋体" w:hAnsi="宋体" w:eastAsia="宋体" w:cs="宋体"/>
        </w:rPr>
      </w:pPr>
    </w:p>
    <w:p w14:paraId="36EA34A0">
      <w:pPr>
        <w:pStyle w:val="107"/>
        <w:rPr>
          <w:rFonts w:ascii="宋体" w:hAnsi="宋体" w:eastAsia="宋体" w:cs="宋体"/>
        </w:rPr>
      </w:pPr>
    </w:p>
    <w:p w14:paraId="51F1BBB6">
      <w:pPr>
        <w:pStyle w:val="107"/>
        <w:rPr>
          <w:rFonts w:ascii="宋体" w:hAnsi="宋体" w:eastAsia="宋体" w:cs="宋体"/>
        </w:rPr>
      </w:pPr>
      <w:r>
        <w:rPr>
          <w:rFonts w:hint="eastAsia" w:ascii="宋体" w:hAnsi="宋体" w:eastAsia="宋体" w:cs="宋体"/>
        </w:rPr>
        <w:t>单位名称：</w:t>
      </w:r>
      <w:r>
        <w:rPr>
          <w:rFonts w:hint="eastAsia" w:ascii="宋体" w:hAnsi="宋体" w:eastAsia="宋体" w:cs="宋体"/>
          <w:u w:val="single"/>
        </w:rPr>
        <w:t xml:space="preserve">             </w:t>
      </w:r>
      <w:r>
        <w:rPr>
          <w:rFonts w:hint="eastAsia" w:ascii="宋体" w:hAnsi="宋体" w:eastAsia="宋体" w:cs="宋体"/>
        </w:rPr>
        <w:t>（公章） 法定代表人：</w:t>
      </w:r>
      <w:r>
        <w:rPr>
          <w:rFonts w:hint="eastAsia" w:ascii="宋体" w:hAnsi="宋体" w:eastAsia="宋体" w:cs="宋体"/>
          <w:u w:val="single"/>
        </w:rPr>
        <w:t xml:space="preserve">    </w:t>
      </w:r>
      <w:r>
        <w:rPr>
          <w:rFonts w:hint="eastAsia" w:ascii="宋体" w:hAnsi="宋体" w:eastAsia="宋体" w:cs="宋体"/>
          <w:sz w:val="28"/>
          <w:szCs w:val="28"/>
          <w:u w:val="single"/>
        </w:rPr>
        <w:t xml:space="preserve">       </w:t>
      </w:r>
      <w:r>
        <w:rPr>
          <w:rFonts w:hint="eastAsia" w:ascii="宋体" w:hAnsi="宋体" w:eastAsia="宋体" w:cs="宋体"/>
        </w:rPr>
        <w:t>（签字或盖章）</w:t>
      </w:r>
    </w:p>
    <w:p w14:paraId="41BB09F0">
      <w:pPr>
        <w:pStyle w:val="107"/>
        <w:rPr>
          <w:rFonts w:ascii="宋体" w:hAnsi="宋体" w:eastAsia="宋体" w:cs="宋体"/>
        </w:rPr>
      </w:pPr>
    </w:p>
    <w:p w14:paraId="3F790757">
      <w:pPr>
        <w:pStyle w:val="107"/>
        <w:rPr>
          <w:rFonts w:ascii="宋体" w:hAnsi="宋体" w:eastAsia="宋体" w:cs="宋体"/>
        </w:rPr>
      </w:pPr>
    </w:p>
    <w:p w14:paraId="211B7591">
      <w:pPr>
        <w:pStyle w:val="107"/>
        <w:jc w:val="right"/>
        <w:rPr>
          <w:rFonts w:ascii="宋体" w:hAnsi="宋体" w:eastAsia="宋体" w:cs="宋体"/>
          <w:szCs w:val="20"/>
          <w:u w:val="single"/>
        </w:rPr>
      </w:pPr>
    </w:p>
    <w:p w14:paraId="3579F0CD">
      <w:pPr>
        <w:pStyle w:val="142"/>
        <w:spacing w:line="440" w:lineRule="exact"/>
        <w:rPr>
          <w:rFonts w:ascii="宋体" w:hAnsi="宋体" w:cs="宋体"/>
        </w:rPr>
      </w:pPr>
      <w:r>
        <w:rPr>
          <w:rFonts w:hint="eastAsia" w:ascii="宋体" w:hAnsi="宋体" w:eastAsia="宋体" w:cs="宋体"/>
          <w:sz w:val="24"/>
          <w:szCs w:val="20"/>
          <w:u w:val="single"/>
        </w:rPr>
        <w:t xml:space="preserve">     </w:t>
      </w:r>
      <w:r>
        <w:rPr>
          <w:rFonts w:hint="eastAsia" w:ascii="宋体" w:hAnsi="宋体" w:eastAsia="宋体" w:cs="宋体"/>
          <w:sz w:val="24"/>
          <w:szCs w:val="20"/>
        </w:rPr>
        <w:t>年</w:t>
      </w:r>
      <w:r>
        <w:rPr>
          <w:rFonts w:hint="eastAsia" w:ascii="宋体" w:hAnsi="宋体" w:eastAsia="宋体" w:cs="宋体"/>
          <w:sz w:val="24"/>
          <w:szCs w:val="20"/>
          <w:u w:val="single"/>
        </w:rPr>
        <w:t xml:space="preserve">      </w:t>
      </w:r>
      <w:r>
        <w:rPr>
          <w:rFonts w:hint="eastAsia" w:ascii="宋体" w:hAnsi="宋体" w:eastAsia="宋体" w:cs="宋体"/>
          <w:sz w:val="24"/>
          <w:szCs w:val="20"/>
        </w:rPr>
        <w:t>月</w:t>
      </w:r>
      <w:r>
        <w:rPr>
          <w:rFonts w:hint="eastAsia" w:ascii="宋体" w:hAnsi="宋体" w:eastAsia="宋体" w:cs="宋体"/>
          <w:sz w:val="24"/>
          <w:szCs w:val="20"/>
          <w:u w:val="single"/>
        </w:rPr>
        <w:t xml:space="preserve">      </w:t>
      </w:r>
      <w:r>
        <w:rPr>
          <w:rFonts w:hint="eastAsia" w:ascii="宋体" w:hAnsi="宋体" w:eastAsia="宋体" w:cs="宋体"/>
          <w:sz w:val="24"/>
          <w:szCs w:val="20"/>
        </w:rPr>
        <w:t>日</w:t>
      </w:r>
      <w:r>
        <w:rPr>
          <w:rFonts w:hint="eastAsia" w:ascii="宋体" w:hAnsi="宋体" w:cs="宋体"/>
        </w:rPr>
        <w:br w:type="page"/>
      </w:r>
    </w:p>
    <w:p w14:paraId="2217B9FF">
      <w:pPr>
        <w:jc w:val="left"/>
        <w:outlineLvl w:val="1"/>
        <w:rPr>
          <w:rFonts w:ascii="宋体" w:hAnsi="宋体" w:cs="宋体"/>
          <w:sz w:val="32"/>
        </w:rPr>
      </w:pPr>
      <w:bookmarkStart w:id="108" w:name="_Toc22191"/>
      <w:r>
        <w:rPr>
          <w:rFonts w:hint="eastAsia" w:ascii="宋体" w:hAnsi="宋体" w:cs="宋体"/>
          <w:b/>
          <w:bCs/>
          <w:sz w:val="36"/>
          <w:szCs w:val="36"/>
        </w:rPr>
        <w:t>五、</w:t>
      </w:r>
      <w:r>
        <w:rPr>
          <w:rFonts w:hint="eastAsia" w:ascii="宋体" w:hAnsi="宋体" w:cs="宋体"/>
          <w:b/>
          <w:bCs/>
          <w:sz w:val="32"/>
        </w:rPr>
        <w:t>明细报价表</w:t>
      </w:r>
      <w:bookmarkEnd w:id="108"/>
    </w:p>
    <w:p w14:paraId="03473718">
      <w:pPr>
        <w:jc w:val="center"/>
        <w:rPr>
          <w:rFonts w:ascii="宋体" w:hAnsi="宋体" w:cs="宋体"/>
          <w:sz w:val="32"/>
        </w:rPr>
      </w:pPr>
      <w:r>
        <w:rPr>
          <w:rFonts w:hint="eastAsia" w:ascii="宋体" w:hAnsi="宋体" w:cs="宋体"/>
          <w:b/>
          <w:bCs/>
          <w:sz w:val="32"/>
        </w:rPr>
        <w:t>明细报价表</w:t>
      </w:r>
    </w:p>
    <w:tbl>
      <w:tblPr>
        <w:tblStyle w:val="49"/>
        <w:tblW w:w="8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2137"/>
        <w:gridCol w:w="1139"/>
        <w:gridCol w:w="1020"/>
        <w:gridCol w:w="1155"/>
        <w:gridCol w:w="1629"/>
      </w:tblGrid>
      <w:tr w14:paraId="0B5A1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288" w:type="dxa"/>
            <w:vAlign w:val="center"/>
          </w:tcPr>
          <w:p w14:paraId="5E1943D2">
            <w:pPr>
              <w:spacing w:line="560" w:lineRule="exact"/>
              <w:jc w:val="center"/>
              <w:rPr>
                <w:rFonts w:ascii="宋体" w:hAnsi="宋体" w:cs="宋体"/>
                <w:sz w:val="32"/>
                <w:szCs w:val="28"/>
              </w:rPr>
            </w:pPr>
            <w:r>
              <w:rPr>
                <w:rFonts w:hint="eastAsia" w:ascii="宋体" w:hAnsi="宋体" w:cs="宋体"/>
                <w:sz w:val="32"/>
                <w:szCs w:val="28"/>
              </w:rPr>
              <w:t>序号</w:t>
            </w:r>
          </w:p>
        </w:tc>
        <w:tc>
          <w:tcPr>
            <w:tcW w:w="2137" w:type="dxa"/>
            <w:vAlign w:val="center"/>
          </w:tcPr>
          <w:p w14:paraId="0A4BC0A9">
            <w:pPr>
              <w:spacing w:line="560" w:lineRule="exact"/>
              <w:jc w:val="center"/>
              <w:rPr>
                <w:rFonts w:ascii="宋体" w:hAnsi="宋体" w:cs="宋体"/>
                <w:sz w:val="32"/>
                <w:szCs w:val="28"/>
              </w:rPr>
            </w:pPr>
            <w:r>
              <w:rPr>
                <w:rFonts w:hint="eastAsia" w:ascii="宋体" w:hAnsi="宋体" w:cs="宋体"/>
                <w:sz w:val="32"/>
                <w:szCs w:val="28"/>
              </w:rPr>
              <w:t>服务内容</w:t>
            </w:r>
          </w:p>
        </w:tc>
        <w:tc>
          <w:tcPr>
            <w:tcW w:w="1139" w:type="dxa"/>
            <w:vAlign w:val="center"/>
          </w:tcPr>
          <w:p w14:paraId="172AD70F">
            <w:pPr>
              <w:spacing w:line="560" w:lineRule="exact"/>
              <w:jc w:val="center"/>
              <w:rPr>
                <w:rFonts w:ascii="宋体" w:hAnsi="宋体" w:cs="宋体"/>
                <w:sz w:val="32"/>
                <w:szCs w:val="28"/>
              </w:rPr>
            </w:pPr>
            <w:r>
              <w:rPr>
                <w:rFonts w:hint="eastAsia" w:ascii="宋体" w:hAnsi="宋体" w:cs="宋体"/>
                <w:sz w:val="32"/>
                <w:szCs w:val="28"/>
              </w:rPr>
              <w:t>单位</w:t>
            </w:r>
          </w:p>
        </w:tc>
        <w:tc>
          <w:tcPr>
            <w:tcW w:w="1020" w:type="dxa"/>
            <w:vAlign w:val="center"/>
          </w:tcPr>
          <w:p w14:paraId="61890EBF">
            <w:pPr>
              <w:spacing w:line="560" w:lineRule="exact"/>
              <w:jc w:val="center"/>
              <w:rPr>
                <w:rFonts w:ascii="宋体" w:hAnsi="宋体" w:cs="宋体"/>
                <w:sz w:val="32"/>
                <w:szCs w:val="28"/>
              </w:rPr>
            </w:pPr>
            <w:r>
              <w:rPr>
                <w:rFonts w:hint="eastAsia" w:ascii="宋体" w:hAnsi="宋体" w:cs="宋体"/>
                <w:sz w:val="32"/>
                <w:szCs w:val="28"/>
              </w:rPr>
              <w:t>数量</w:t>
            </w:r>
          </w:p>
        </w:tc>
        <w:tc>
          <w:tcPr>
            <w:tcW w:w="1155" w:type="dxa"/>
            <w:vAlign w:val="center"/>
          </w:tcPr>
          <w:p w14:paraId="6207AD58">
            <w:pPr>
              <w:spacing w:line="560" w:lineRule="exact"/>
              <w:jc w:val="center"/>
              <w:rPr>
                <w:rFonts w:ascii="宋体" w:hAnsi="宋体" w:cs="宋体"/>
                <w:sz w:val="32"/>
                <w:szCs w:val="28"/>
              </w:rPr>
            </w:pPr>
            <w:r>
              <w:rPr>
                <w:rFonts w:hint="eastAsia" w:ascii="宋体" w:hAnsi="宋体" w:cs="宋体"/>
                <w:sz w:val="32"/>
                <w:szCs w:val="28"/>
              </w:rPr>
              <w:t>单价</w:t>
            </w:r>
          </w:p>
        </w:tc>
        <w:tc>
          <w:tcPr>
            <w:tcW w:w="1629" w:type="dxa"/>
            <w:vAlign w:val="center"/>
          </w:tcPr>
          <w:p w14:paraId="5B9201C0">
            <w:pPr>
              <w:spacing w:line="560" w:lineRule="exact"/>
              <w:jc w:val="center"/>
              <w:rPr>
                <w:rFonts w:ascii="宋体" w:hAnsi="宋体" w:cs="宋体"/>
                <w:sz w:val="32"/>
                <w:szCs w:val="28"/>
              </w:rPr>
            </w:pPr>
            <w:r>
              <w:rPr>
                <w:rFonts w:hint="eastAsia" w:ascii="宋体" w:hAnsi="宋体" w:cs="宋体"/>
                <w:sz w:val="32"/>
                <w:szCs w:val="28"/>
              </w:rPr>
              <w:t>合价</w:t>
            </w:r>
          </w:p>
        </w:tc>
      </w:tr>
      <w:tr w14:paraId="4345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88" w:type="dxa"/>
          </w:tcPr>
          <w:p w14:paraId="1ADC493F">
            <w:pPr>
              <w:widowControl/>
              <w:spacing w:line="560" w:lineRule="exact"/>
              <w:jc w:val="center"/>
              <w:rPr>
                <w:rFonts w:ascii="宋体" w:hAnsi="宋体" w:cs="宋体"/>
                <w:sz w:val="28"/>
                <w:szCs w:val="28"/>
              </w:rPr>
            </w:pPr>
            <w:r>
              <w:rPr>
                <w:rFonts w:hint="eastAsia" w:ascii="宋体" w:hAnsi="宋体" w:cs="宋体"/>
                <w:sz w:val="28"/>
                <w:szCs w:val="28"/>
              </w:rPr>
              <w:t>1</w:t>
            </w:r>
          </w:p>
        </w:tc>
        <w:tc>
          <w:tcPr>
            <w:tcW w:w="2137" w:type="dxa"/>
          </w:tcPr>
          <w:p w14:paraId="0FF2C564">
            <w:pPr>
              <w:widowControl/>
              <w:spacing w:line="560" w:lineRule="exact"/>
              <w:jc w:val="center"/>
              <w:rPr>
                <w:rFonts w:ascii="宋体" w:hAnsi="宋体" w:cs="宋体"/>
                <w:sz w:val="28"/>
                <w:szCs w:val="28"/>
              </w:rPr>
            </w:pPr>
          </w:p>
        </w:tc>
        <w:tc>
          <w:tcPr>
            <w:tcW w:w="1139" w:type="dxa"/>
            <w:vAlign w:val="center"/>
          </w:tcPr>
          <w:p w14:paraId="6F8B3616">
            <w:pPr>
              <w:spacing w:line="560" w:lineRule="exact"/>
              <w:jc w:val="center"/>
              <w:rPr>
                <w:rFonts w:ascii="宋体" w:hAnsi="宋体" w:cs="宋体"/>
                <w:sz w:val="28"/>
                <w:szCs w:val="28"/>
              </w:rPr>
            </w:pPr>
          </w:p>
        </w:tc>
        <w:tc>
          <w:tcPr>
            <w:tcW w:w="1020" w:type="dxa"/>
          </w:tcPr>
          <w:p w14:paraId="4AA6E300">
            <w:pPr>
              <w:widowControl/>
              <w:spacing w:line="560" w:lineRule="exact"/>
              <w:jc w:val="center"/>
              <w:rPr>
                <w:rFonts w:ascii="宋体" w:hAnsi="宋体" w:cs="宋体"/>
                <w:sz w:val="28"/>
                <w:szCs w:val="28"/>
              </w:rPr>
            </w:pPr>
          </w:p>
        </w:tc>
        <w:tc>
          <w:tcPr>
            <w:tcW w:w="1155" w:type="dxa"/>
            <w:vAlign w:val="center"/>
          </w:tcPr>
          <w:p w14:paraId="7F5F5E53">
            <w:pPr>
              <w:spacing w:line="560" w:lineRule="exact"/>
              <w:jc w:val="center"/>
              <w:rPr>
                <w:rFonts w:ascii="宋体" w:hAnsi="宋体" w:cs="宋体"/>
                <w:sz w:val="28"/>
                <w:szCs w:val="28"/>
              </w:rPr>
            </w:pPr>
          </w:p>
        </w:tc>
        <w:tc>
          <w:tcPr>
            <w:tcW w:w="1629" w:type="dxa"/>
            <w:vAlign w:val="center"/>
          </w:tcPr>
          <w:p w14:paraId="08B28281">
            <w:pPr>
              <w:spacing w:line="560" w:lineRule="exact"/>
              <w:jc w:val="center"/>
              <w:rPr>
                <w:rFonts w:ascii="宋体" w:hAnsi="宋体" w:cs="宋体"/>
                <w:sz w:val="28"/>
                <w:szCs w:val="28"/>
              </w:rPr>
            </w:pPr>
          </w:p>
        </w:tc>
      </w:tr>
      <w:tr w14:paraId="3DD6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1288" w:type="dxa"/>
          </w:tcPr>
          <w:p w14:paraId="5114EC0A">
            <w:pPr>
              <w:widowControl/>
              <w:spacing w:line="560" w:lineRule="exact"/>
              <w:jc w:val="center"/>
              <w:rPr>
                <w:rFonts w:ascii="宋体" w:hAnsi="宋体" w:cs="宋体"/>
                <w:sz w:val="28"/>
                <w:szCs w:val="28"/>
              </w:rPr>
            </w:pPr>
            <w:r>
              <w:rPr>
                <w:rFonts w:hint="eastAsia" w:ascii="宋体" w:hAnsi="宋体" w:cs="宋体"/>
                <w:sz w:val="28"/>
                <w:szCs w:val="28"/>
              </w:rPr>
              <w:t>2</w:t>
            </w:r>
          </w:p>
        </w:tc>
        <w:tc>
          <w:tcPr>
            <w:tcW w:w="2137" w:type="dxa"/>
          </w:tcPr>
          <w:p w14:paraId="2AB0116D">
            <w:pPr>
              <w:widowControl/>
              <w:spacing w:line="560" w:lineRule="exact"/>
              <w:jc w:val="center"/>
              <w:rPr>
                <w:rFonts w:ascii="宋体" w:hAnsi="宋体" w:cs="宋体"/>
                <w:sz w:val="28"/>
                <w:szCs w:val="28"/>
              </w:rPr>
            </w:pPr>
          </w:p>
        </w:tc>
        <w:tc>
          <w:tcPr>
            <w:tcW w:w="1139" w:type="dxa"/>
            <w:vAlign w:val="center"/>
          </w:tcPr>
          <w:p w14:paraId="3F995B9D">
            <w:pPr>
              <w:spacing w:line="560" w:lineRule="exact"/>
              <w:jc w:val="center"/>
              <w:rPr>
                <w:rFonts w:ascii="宋体" w:hAnsi="宋体" w:cs="宋体"/>
                <w:sz w:val="28"/>
                <w:szCs w:val="28"/>
              </w:rPr>
            </w:pPr>
          </w:p>
        </w:tc>
        <w:tc>
          <w:tcPr>
            <w:tcW w:w="1020" w:type="dxa"/>
          </w:tcPr>
          <w:p w14:paraId="795C67C7">
            <w:pPr>
              <w:widowControl/>
              <w:spacing w:line="560" w:lineRule="exact"/>
              <w:jc w:val="center"/>
              <w:rPr>
                <w:rFonts w:ascii="宋体" w:hAnsi="宋体" w:cs="宋体"/>
                <w:sz w:val="28"/>
                <w:szCs w:val="28"/>
              </w:rPr>
            </w:pPr>
          </w:p>
        </w:tc>
        <w:tc>
          <w:tcPr>
            <w:tcW w:w="1155" w:type="dxa"/>
            <w:vAlign w:val="center"/>
          </w:tcPr>
          <w:p w14:paraId="69064403">
            <w:pPr>
              <w:spacing w:line="560" w:lineRule="exact"/>
              <w:jc w:val="center"/>
              <w:rPr>
                <w:rFonts w:ascii="宋体" w:hAnsi="宋体" w:cs="宋体"/>
                <w:sz w:val="28"/>
                <w:szCs w:val="28"/>
              </w:rPr>
            </w:pPr>
          </w:p>
        </w:tc>
        <w:tc>
          <w:tcPr>
            <w:tcW w:w="1629" w:type="dxa"/>
            <w:vAlign w:val="center"/>
          </w:tcPr>
          <w:p w14:paraId="306C17B5">
            <w:pPr>
              <w:spacing w:line="560" w:lineRule="exact"/>
              <w:jc w:val="center"/>
              <w:rPr>
                <w:rFonts w:ascii="宋体" w:hAnsi="宋体" w:cs="宋体"/>
                <w:sz w:val="28"/>
                <w:szCs w:val="28"/>
              </w:rPr>
            </w:pPr>
          </w:p>
        </w:tc>
      </w:tr>
      <w:tr w14:paraId="191B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1288" w:type="dxa"/>
            <w:tcBorders>
              <w:bottom w:val="single" w:color="auto" w:sz="4" w:space="0"/>
            </w:tcBorders>
          </w:tcPr>
          <w:p w14:paraId="6280BC80">
            <w:pPr>
              <w:widowControl/>
              <w:spacing w:line="560" w:lineRule="exact"/>
              <w:jc w:val="center"/>
              <w:rPr>
                <w:rFonts w:ascii="宋体" w:hAnsi="宋体" w:cs="宋体"/>
                <w:sz w:val="28"/>
                <w:szCs w:val="28"/>
              </w:rPr>
            </w:pPr>
            <w:r>
              <w:rPr>
                <w:rFonts w:hint="eastAsia" w:ascii="宋体" w:hAnsi="宋体" w:cs="宋体"/>
                <w:sz w:val="28"/>
                <w:szCs w:val="28"/>
              </w:rPr>
              <w:t>3</w:t>
            </w:r>
          </w:p>
        </w:tc>
        <w:tc>
          <w:tcPr>
            <w:tcW w:w="2137" w:type="dxa"/>
            <w:tcBorders>
              <w:bottom w:val="single" w:color="auto" w:sz="4" w:space="0"/>
            </w:tcBorders>
          </w:tcPr>
          <w:p w14:paraId="7FCC6DE3">
            <w:pPr>
              <w:widowControl/>
              <w:spacing w:line="560" w:lineRule="exact"/>
              <w:jc w:val="center"/>
              <w:rPr>
                <w:rFonts w:ascii="宋体" w:hAnsi="宋体" w:cs="宋体"/>
                <w:sz w:val="28"/>
                <w:szCs w:val="28"/>
              </w:rPr>
            </w:pPr>
          </w:p>
        </w:tc>
        <w:tc>
          <w:tcPr>
            <w:tcW w:w="1139" w:type="dxa"/>
            <w:tcBorders>
              <w:bottom w:val="single" w:color="auto" w:sz="4" w:space="0"/>
            </w:tcBorders>
            <w:vAlign w:val="center"/>
          </w:tcPr>
          <w:p w14:paraId="60A0932D">
            <w:pPr>
              <w:spacing w:line="560" w:lineRule="exact"/>
              <w:jc w:val="center"/>
              <w:rPr>
                <w:rFonts w:ascii="宋体" w:hAnsi="宋体" w:cs="宋体"/>
                <w:sz w:val="28"/>
                <w:szCs w:val="28"/>
              </w:rPr>
            </w:pPr>
          </w:p>
        </w:tc>
        <w:tc>
          <w:tcPr>
            <w:tcW w:w="1020" w:type="dxa"/>
            <w:tcBorders>
              <w:bottom w:val="single" w:color="auto" w:sz="4" w:space="0"/>
            </w:tcBorders>
          </w:tcPr>
          <w:p w14:paraId="0B3B0CFA">
            <w:pPr>
              <w:widowControl/>
              <w:spacing w:line="560" w:lineRule="exact"/>
              <w:jc w:val="center"/>
              <w:rPr>
                <w:rFonts w:ascii="宋体" w:hAnsi="宋体" w:cs="宋体"/>
                <w:sz w:val="28"/>
                <w:szCs w:val="28"/>
              </w:rPr>
            </w:pPr>
          </w:p>
        </w:tc>
        <w:tc>
          <w:tcPr>
            <w:tcW w:w="1155" w:type="dxa"/>
            <w:tcBorders>
              <w:bottom w:val="single" w:color="auto" w:sz="4" w:space="0"/>
            </w:tcBorders>
            <w:vAlign w:val="center"/>
          </w:tcPr>
          <w:p w14:paraId="736D8E50">
            <w:pPr>
              <w:spacing w:line="560" w:lineRule="exact"/>
              <w:jc w:val="center"/>
              <w:rPr>
                <w:rFonts w:ascii="宋体" w:hAnsi="宋体" w:cs="宋体"/>
                <w:sz w:val="28"/>
                <w:szCs w:val="28"/>
              </w:rPr>
            </w:pPr>
          </w:p>
        </w:tc>
        <w:tc>
          <w:tcPr>
            <w:tcW w:w="1629" w:type="dxa"/>
            <w:tcBorders>
              <w:bottom w:val="single" w:color="auto" w:sz="4" w:space="0"/>
            </w:tcBorders>
            <w:vAlign w:val="center"/>
          </w:tcPr>
          <w:p w14:paraId="4CF97571">
            <w:pPr>
              <w:spacing w:line="560" w:lineRule="exact"/>
              <w:jc w:val="center"/>
              <w:rPr>
                <w:rFonts w:ascii="宋体" w:hAnsi="宋体" w:cs="宋体"/>
                <w:sz w:val="28"/>
                <w:szCs w:val="28"/>
              </w:rPr>
            </w:pPr>
          </w:p>
        </w:tc>
      </w:tr>
      <w:tr w14:paraId="47FA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1288" w:type="dxa"/>
          </w:tcPr>
          <w:p w14:paraId="49C8A0A7">
            <w:pPr>
              <w:widowControl/>
              <w:spacing w:line="560" w:lineRule="exact"/>
              <w:jc w:val="center"/>
              <w:rPr>
                <w:rFonts w:ascii="宋体" w:hAnsi="宋体" w:cs="宋体"/>
                <w:sz w:val="28"/>
                <w:szCs w:val="28"/>
              </w:rPr>
            </w:pPr>
          </w:p>
        </w:tc>
        <w:tc>
          <w:tcPr>
            <w:tcW w:w="2137" w:type="dxa"/>
          </w:tcPr>
          <w:p w14:paraId="30C7F51F">
            <w:pPr>
              <w:widowControl/>
              <w:spacing w:line="560" w:lineRule="exact"/>
              <w:jc w:val="center"/>
              <w:rPr>
                <w:rFonts w:ascii="宋体" w:hAnsi="宋体" w:cs="宋体"/>
                <w:sz w:val="28"/>
                <w:szCs w:val="28"/>
              </w:rPr>
            </w:pPr>
          </w:p>
        </w:tc>
        <w:tc>
          <w:tcPr>
            <w:tcW w:w="1139" w:type="dxa"/>
            <w:vAlign w:val="center"/>
          </w:tcPr>
          <w:p w14:paraId="0213608F">
            <w:pPr>
              <w:spacing w:line="560" w:lineRule="exact"/>
              <w:jc w:val="center"/>
              <w:rPr>
                <w:rFonts w:ascii="宋体" w:hAnsi="宋体" w:cs="宋体"/>
                <w:sz w:val="28"/>
                <w:szCs w:val="28"/>
              </w:rPr>
            </w:pPr>
          </w:p>
        </w:tc>
        <w:tc>
          <w:tcPr>
            <w:tcW w:w="1020" w:type="dxa"/>
          </w:tcPr>
          <w:p w14:paraId="3C6C0D90">
            <w:pPr>
              <w:widowControl/>
              <w:spacing w:line="560" w:lineRule="exact"/>
              <w:jc w:val="center"/>
              <w:rPr>
                <w:rFonts w:ascii="宋体" w:hAnsi="宋体" w:cs="宋体"/>
                <w:sz w:val="28"/>
                <w:szCs w:val="28"/>
              </w:rPr>
            </w:pPr>
          </w:p>
        </w:tc>
        <w:tc>
          <w:tcPr>
            <w:tcW w:w="1155" w:type="dxa"/>
            <w:vAlign w:val="center"/>
          </w:tcPr>
          <w:p w14:paraId="18512F53">
            <w:pPr>
              <w:spacing w:line="560" w:lineRule="exact"/>
              <w:jc w:val="center"/>
              <w:rPr>
                <w:rFonts w:ascii="宋体" w:hAnsi="宋体" w:cs="宋体"/>
                <w:sz w:val="28"/>
                <w:szCs w:val="28"/>
              </w:rPr>
            </w:pPr>
          </w:p>
        </w:tc>
        <w:tc>
          <w:tcPr>
            <w:tcW w:w="1629" w:type="dxa"/>
            <w:vAlign w:val="center"/>
          </w:tcPr>
          <w:p w14:paraId="7D913DBE">
            <w:pPr>
              <w:spacing w:line="560" w:lineRule="exact"/>
              <w:jc w:val="center"/>
              <w:rPr>
                <w:rFonts w:ascii="宋体" w:hAnsi="宋体" w:cs="宋体"/>
                <w:sz w:val="28"/>
                <w:szCs w:val="28"/>
              </w:rPr>
            </w:pPr>
          </w:p>
        </w:tc>
      </w:tr>
      <w:tr w14:paraId="6EFCF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288" w:type="dxa"/>
            <w:vAlign w:val="center"/>
          </w:tcPr>
          <w:p w14:paraId="756D99F8">
            <w:pPr>
              <w:spacing w:line="560" w:lineRule="exact"/>
              <w:jc w:val="center"/>
              <w:rPr>
                <w:rFonts w:ascii="宋体" w:hAnsi="宋体" w:cs="宋体"/>
                <w:sz w:val="28"/>
                <w:szCs w:val="28"/>
              </w:rPr>
            </w:pPr>
          </w:p>
        </w:tc>
        <w:tc>
          <w:tcPr>
            <w:tcW w:w="2137" w:type="dxa"/>
            <w:vAlign w:val="center"/>
          </w:tcPr>
          <w:p w14:paraId="08B8B7E2">
            <w:pPr>
              <w:spacing w:line="560" w:lineRule="exact"/>
              <w:jc w:val="center"/>
              <w:rPr>
                <w:rFonts w:ascii="宋体" w:hAnsi="宋体" w:cs="宋体"/>
                <w:sz w:val="28"/>
                <w:szCs w:val="28"/>
              </w:rPr>
            </w:pPr>
          </w:p>
        </w:tc>
        <w:tc>
          <w:tcPr>
            <w:tcW w:w="1139" w:type="dxa"/>
            <w:vAlign w:val="center"/>
          </w:tcPr>
          <w:p w14:paraId="31730516">
            <w:pPr>
              <w:spacing w:line="560" w:lineRule="exact"/>
              <w:jc w:val="center"/>
              <w:rPr>
                <w:rFonts w:ascii="宋体" w:hAnsi="宋体" w:cs="宋体"/>
                <w:sz w:val="28"/>
                <w:szCs w:val="28"/>
              </w:rPr>
            </w:pPr>
          </w:p>
        </w:tc>
        <w:tc>
          <w:tcPr>
            <w:tcW w:w="1020" w:type="dxa"/>
          </w:tcPr>
          <w:p w14:paraId="2496E85F">
            <w:pPr>
              <w:widowControl/>
              <w:spacing w:line="560" w:lineRule="exact"/>
              <w:jc w:val="center"/>
              <w:rPr>
                <w:rFonts w:ascii="宋体" w:hAnsi="宋体" w:cs="宋体"/>
                <w:sz w:val="28"/>
                <w:szCs w:val="28"/>
              </w:rPr>
            </w:pPr>
          </w:p>
        </w:tc>
        <w:tc>
          <w:tcPr>
            <w:tcW w:w="1155" w:type="dxa"/>
            <w:vAlign w:val="center"/>
          </w:tcPr>
          <w:p w14:paraId="4C5D5403">
            <w:pPr>
              <w:spacing w:line="560" w:lineRule="exact"/>
              <w:jc w:val="center"/>
              <w:rPr>
                <w:rFonts w:ascii="宋体" w:hAnsi="宋体" w:cs="宋体"/>
                <w:sz w:val="28"/>
                <w:szCs w:val="28"/>
              </w:rPr>
            </w:pPr>
          </w:p>
        </w:tc>
        <w:tc>
          <w:tcPr>
            <w:tcW w:w="1629" w:type="dxa"/>
            <w:vAlign w:val="center"/>
          </w:tcPr>
          <w:p w14:paraId="336CC637">
            <w:pPr>
              <w:spacing w:line="560" w:lineRule="exact"/>
              <w:jc w:val="center"/>
              <w:rPr>
                <w:rFonts w:ascii="宋体" w:hAnsi="宋体" w:cs="宋体"/>
                <w:sz w:val="28"/>
                <w:szCs w:val="28"/>
              </w:rPr>
            </w:pPr>
          </w:p>
        </w:tc>
      </w:tr>
      <w:tr w14:paraId="0609F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288" w:type="dxa"/>
          </w:tcPr>
          <w:p w14:paraId="7AC1275F">
            <w:pPr>
              <w:widowControl/>
              <w:spacing w:line="560" w:lineRule="exact"/>
              <w:jc w:val="center"/>
              <w:rPr>
                <w:rFonts w:ascii="宋体" w:hAnsi="宋体" w:cs="宋体"/>
                <w:sz w:val="28"/>
                <w:szCs w:val="28"/>
              </w:rPr>
            </w:pPr>
          </w:p>
        </w:tc>
        <w:tc>
          <w:tcPr>
            <w:tcW w:w="2137" w:type="dxa"/>
          </w:tcPr>
          <w:p w14:paraId="5F107367">
            <w:pPr>
              <w:widowControl/>
              <w:spacing w:line="560" w:lineRule="exact"/>
              <w:jc w:val="center"/>
              <w:rPr>
                <w:rFonts w:ascii="宋体" w:hAnsi="宋体" w:cs="宋体"/>
                <w:sz w:val="28"/>
                <w:szCs w:val="28"/>
              </w:rPr>
            </w:pPr>
            <w:r>
              <w:rPr>
                <w:rFonts w:hint="eastAsia" w:ascii="宋体" w:hAnsi="宋体" w:cs="宋体"/>
                <w:sz w:val="28"/>
                <w:szCs w:val="28"/>
              </w:rPr>
              <w:t>合计</w:t>
            </w:r>
          </w:p>
        </w:tc>
        <w:tc>
          <w:tcPr>
            <w:tcW w:w="1139" w:type="dxa"/>
            <w:vAlign w:val="center"/>
          </w:tcPr>
          <w:p w14:paraId="1528150E">
            <w:pPr>
              <w:spacing w:line="560" w:lineRule="exact"/>
              <w:jc w:val="center"/>
              <w:rPr>
                <w:rFonts w:ascii="宋体" w:hAnsi="宋体" w:cs="宋体"/>
                <w:sz w:val="28"/>
                <w:szCs w:val="28"/>
              </w:rPr>
            </w:pPr>
          </w:p>
        </w:tc>
        <w:tc>
          <w:tcPr>
            <w:tcW w:w="1020" w:type="dxa"/>
          </w:tcPr>
          <w:p w14:paraId="3DBC7D5F">
            <w:pPr>
              <w:widowControl/>
              <w:spacing w:line="560" w:lineRule="exact"/>
              <w:jc w:val="center"/>
              <w:rPr>
                <w:rFonts w:ascii="宋体" w:hAnsi="宋体" w:cs="宋体"/>
                <w:sz w:val="28"/>
                <w:szCs w:val="28"/>
              </w:rPr>
            </w:pPr>
          </w:p>
        </w:tc>
        <w:tc>
          <w:tcPr>
            <w:tcW w:w="1155" w:type="dxa"/>
            <w:vAlign w:val="center"/>
          </w:tcPr>
          <w:p w14:paraId="032283B3">
            <w:pPr>
              <w:spacing w:line="560" w:lineRule="exact"/>
              <w:jc w:val="center"/>
              <w:rPr>
                <w:rFonts w:ascii="宋体" w:hAnsi="宋体" w:cs="宋体"/>
                <w:sz w:val="28"/>
                <w:szCs w:val="28"/>
              </w:rPr>
            </w:pPr>
          </w:p>
        </w:tc>
        <w:tc>
          <w:tcPr>
            <w:tcW w:w="1629" w:type="dxa"/>
            <w:vAlign w:val="center"/>
          </w:tcPr>
          <w:p w14:paraId="5E2329DD">
            <w:pPr>
              <w:spacing w:line="560" w:lineRule="exact"/>
              <w:jc w:val="center"/>
              <w:rPr>
                <w:rFonts w:ascii="宋体" w:hAnsi="宋体" w:cs="宋体"/>
                <w:sz w:val="28"/>
                <w:szCs w:val="28"/>
              </w:rPr>
            </w:pPr>
          </w:p>
        </w:tc>
      </w:tr>
    </w:tbl>
    <w:p w14:paraId="47D04B1F">
      <w:pPr>
        <w:spacing w:line="380" w:lineRule="exact"/>
        <w:rPr>
          <w:rFonts w:ascii="宋体" w:hAnsi="宋体" w:cs="宋体"/>
          <w:b/>
          <w:sz w:val="24"/>
        </w:rPr>
      </w:pPr>
    </w:p>
    <w:p w14:paraId="1CDEC0E0">
      <w:pPr>
        <w:spacing w:line="500" w:lineRule="exact"/>
        <w:ind w:firstLine="240" w:firstLineChars="100"/>
        <w:rPr>
          <w:rFonts w:ascii="宋体" w:hAnsi="宋体" w:cs="宋体"/>
          <w:sz w:val="24"/>
        </w:rPr>
      </w:pPr>
      <w:r>
        <w:rPr>
          <w:rFonts w:hint="eastAsia" w:ascii="宋体" w:hAnsi="宋体" w:cs="宋体"/>
          <w:sz w:val="24"/>
        </w:rPr>
        <w:t>注：供应商应根据货物清单分项进行填报，表中表格行数可自行添加。谈判文件中未列出的相关辅助材料和在实施过程中涉及的其他一切费用应在报价时一并考虑，项目实施过程中不再单独结算。表中竞标报价总价应与对应报价一览表中竞标总价一致。</w:t>
      </w:r>
    </w:p>
    <w:p w14:paraId="289A1855">
      <w:pPr>
        <w:spacing w:line="560" w:lineRule="exact"/>
        <w:rPr>
          <w:rFonts w:ascii="宋体" w:hAnsi="宋体" w:eastAsia="黑体" w:cs="宋体"/>
          <w:b/>
          <w:kern w:val="0"/>
          <w:sz w:val="28"/>
        </w:rPr>
      </w:pPr>
      <w:r>
        <w:rPr>
          <w:rFonts w:hint="eastAsia" w:ascii="宋体" w:hAnsi="宋体" w:cs="宋体"/>
          <w:sz w:val="28"/>
        </w:rPr>
        <w:t>单位名称：</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8"/>
        </w:rPr>
        <w:t xml:space="preserve"> (</w:t>
      </w:r>
      <w:r>
        <w:rPr>
          <w:rFonts w:hint="eastAsia" w:ascii="宋体" w:hAnsi="宋体" w:cs="宋体"/>
          <w:sz w:val="28"/>
        </w:rPr>
        <w:t xml:space="preserve">公章)        </w:t>
      </w:r>
      <w:r>
        <w:rPr>
          <w:rFonts w:hint="eastAsia" w:ascii="宋体" w:hAnsi="宋体" w:eastAsia="黑体" w:cs="宋体"/>
          <w:b/>
          <w:kern w:val="0"/>
          <w:sz w:val="28"/>
        </w:rPr>
        <w:t xml:space="preserve">    </w:t>
      </w:r>
    </w:p>
    <w:p w14:paraId="3AA44F3E">
      <w:pPr>
        <w:pStyle w:val="142"/>
        <w:spacing w:line="440" w:lineRule="exact"/>
        <w:rPr>
          <w:rFonts w:ascii="宋体" w:hAnsi="宋体" w:eastAsia="宋体" w:cs="宋体"/>
          <w:b w:val="0"/>
          <w:kern w:val="2"/>
          <w:sz w:val="28"/>
        </w:rPr>
      </w:pPr>
      <w:r>
        <w:rPr>
          <w:rFonts w:hint="eastAsia" w:ascii="宋体" w:hAnsi="宋体" w:eastAsia="宋体" w:cs="宋体"/>
          <w:b w:val="0"/>
          <w:kern w:val="2"/>
          <w:sz w:val="28"/>
        </w:rPr>
        <w:t>法定代表人：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eastAsia="宋体" w:cs="宋体"/>
          <w:b w:val="0"/>
          <w:kern w:val="2"/>
          <w:sz w:val="28"/>
        </w:rPr>
        <w:t xml:space="preserve"> (签字或盖章)           </w:t>
      </w:r>
    </w:p>
    <w:p w14:paraId="4C80D99C">
      <w:pPr>
        <w:pStyle w:val="142"/>
        <w:spacing w:line="440" w:lineRule="exact"/>
        <w:rPr>
          <w:rFonts w:ascii="宋体" w:hAnsi="宋体" w:eastAsia="宋体" w:cs="宋体"/>
        </w:rPr>
      </w:pPr>
    </w:p>
    <w:p w14:paraId="06291895">
      <w:pPr>
        <w:pStyle w:val="142"/>
        <w:spacing w:line="440" w:lineRule="exact"/>
        <w:rPr>
          <w:rFonts w:ascii="宋体" w:hAnsi="宋体" w:eastAsia="宋体" w:cs="宋体"/>
        </w:rPr>
      </w:pPr>
    </w:p>
    <w:p w14:paraId="71A0B69C">
      <w:pPr>
        <w:pStyle w:val="142"/>
        <w:spacing w:line="440" w:lineRule="exact"/>
        <w:rPr>
          <w:rFonts w:ascii="宋体" w:hAnsi="宋体" w:eastAsia="宋体" w:cs="宋体"/>
        </w:rPr>
      </w:pPr>
    </w:p>
    <w:p w14:paraId="3D8A7E80">
      <w:pPr>
        <w:pStyle w:val="142"/>
        <w:spacing w:line="440" w:lineRule="exact"/>
        <w:rPr>
          <w:rFonts w:ascii="宋体" w:hAnsi="宋体" w:eastAsia="宋体" w:cs="宋体"/>
        </w:rPr>
      </w:pPr>
    </w:p>
    <w:p w14:paraId="0523C9D9">
      <w:pPr>
        <w:pStyle w:val="142"/>
        <w:spacing w:line="440" w:lineRule="exact"/>
        <w:rPr>
          <w:rFonts w:ascii="宋体" w:hAnsi="宋体" w:eastAsia="宋体" w:cs="宋体"/>
        </w:rPr>
      </w:pPr>
    </w:p>
    <w:p w14:paraId="49033909">
      <w:pPr>
        <w:pStyle w:val="142"/>
        <w:spacing w:line="440" w:lineRule="exact"/>
        <w:rPr>
          <w:rFonts w:ascii="宋体" w:hAnsi="宋体" w:eastAsia="宋体" w:cs="宋体"/>
        </w:rPr>
      </w:pPr>
    </w:p>
    <w:p w14:paraId="1BAFF8BF">
      <w:pPr>
        <w:pStyle w:val="142"/>
        <w:spacing w:line="440" w:lineRule="exact"/>
        <w:rPr>
          <w:rFonts w:ascii="宋体" w:hAnsi="宋体" w:eastAsia="宋体" w:cs="宋体"/>
        </w:rPr>
      </w:pPr>
    </w:p>
    <w:p w14:paraId="48E66F22">
      <w:pPr>
        <w:pStyle w:val="142"/>
        <w:spacing w:line="440" w:lineRule="exact"/>
        <w:rPr>
          <w:rFonts w:ascii="宋体" w:hAnsi="宋体" w:eastAsia="宋体" w:cs="宋体"/>
        </w:rPr>
      </w:pPr>
    </w:p>
    <w:p w14:paraId="4B424A96">
      <w:pPr>
        <w:pStyle w:val="142"/>
        <w:spacing w:line="440" w:lineRule="exact"/>
        <w:rPr>
          <w:rFonts w:ascii="宋体" w:hAnsi="宋体" w:eastAsia="宋体" w:cs="宋体"/>
        </w:rPr>
      </w:pPr>
    </w:p>
    <w:p w14:paraId="49343129">
      <w:pPr>
        <w:pStyle w:val="142"/>
        <w:spacing w:line="440" w:lineRule="exact"/>
        <w:rPr>
          <w:rFonts w:ascii="宋体" w:hAnsi="宋体" w:eastAsia="宋体" w:cs="宋体"/>
        </w:rPr>
      </w:pPr>
    </w:p>
    <w:p w14:paraId="724ED579">
      <w:pPr>
        <w:pStyle w:val="142"/>
        <w:spacing w:line="440" w:lineRule="exact"/>
        <w:rPr>
          <w:rFonts w:ascii="宋体" w:hAnsi="宋体" w:eastAsia="宋体" w:cs="宋体"/>
        </w:rPr>
      </w:pPr>
    </w:p>
    <w:p w14:paraId="55606C28">
      <w:pPr>
        <w:pStyle w:val="142"/>
        <w:spacing w:line="440" w:lineRule="exact"/>
        <w:rPr>
          <w:rFonts w:ascii="宋体" w:hAnsi="宋体" w:eastAsia="宋体" w:cs="宋体"/>
        </w:rPr>
      </w:pPr>
    </w:p>
    <w:p w14:paraId="6F221544">
      <w:pPr>
        <w:pStyle w:val="142"/>
        <w:spacing w:line="440" w:lineRule="exact"/>
        <w:rPr>
          <w:rFonts w:ascii="宋体" w:hAnsi="宋体" w:eastAsia="宋体" w:cs="宋体"/>
        </w:rPr>
      </w:pPr>
    </w:p>
    <w:p w14:paraId="0996D0A3">
      <w:pPr>
        <w:pStyle w:val="3"/>
        <w:keepNext w:val="0"/>
        <w:snapToGrid w:val="0"/>
        <w:spacing w:before="120" w:after="120"/>
        <w:jc w:val="left"/>
        <w:rPr>
          <w:rFonts w:ascii="宋体" w:hAnsi="宋体" w:eastAsia="宋体" w:cs="宋体"/>
          <w:kern w:val="0"/>
          <w:sz w:val="32"/>
          <w:szCs w:val="32"/>
        </w:rPr>
      </w:pPr>
      <w:bookmarkStart w:id="109" w:name="_Toc28984"/>
      <w:r>
        <w:rPr>
          <w:rFonts w:hint="eastAsia" w:ascii="宋体" w:hAnsi="宋体" w:eastAsia="宋体" w:cs="宋体"/>
          <w:kern w:val="0"/>
          <w:sz w:val="32"/>
          <w:szCs w:val="32"/>
        </w:rPr>
        <w:t>六、中小企业声明函（服务）</w:t>
      </w:r>
      <w:bookmarkEnd w:id="109"/>
    </w:p>
    <w:p w14:paraId="79CEA54C">
      <w:pPr>
        <w:spacing w:line="560" w:lineRule="exact"/>
        <w:ind w:firstLine="360" w:firstLineChars="15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本公司（联合体）郑重声明，根据《政府采购促进中小企业发展管理办法》(财库[2020]46号）的规定，本公司（联合体）参加江苏省政府采购代理机构组织的</w:t>
      </w:r>
      <w:r>
        <w:rPr>
          <w:rFonts w:hint="eastAsia" w:ascii="宋体" w:hAnsi="宋体" w:cs="宋体"/>
          <w:sz w:val="24"/>
          <w:u w:val="single"/>
        </w:rPr>
        <w:t>（单位名称）</w:t>
      </w:r>
      <w:r>
        <w:rPr>
          <w:rFonts w:hint="eastAsia" w:ascii="宋体" w:hAnsi="宋体" w:cs="宋体"/>
          <w:sz w:val="24"/>
        </w:rPr>
        <w:t>采购编号为</w:t>
      </w:r>
      <w:r>
        <w:rPr>
          <w:rFonts w:hint="eastAsia" w:ascii="宋体" w:hAnsi="宋体" w:cs="宋体"/>
          <w:sz w:val="24"/>
          <w:u w:val="single"/>
        </w:rPr>
        <w:t>***</w:t>
      </w:r>
      <w:r>
        <w:rPr>
          <w:rFonts w:hint="eastAsia" w:ascii="宋体" w:hAnsi="宋体" w:cs="宋体"/>
          <w:sz w:val="24"/>
        </w:rPr>
        <w:t>，</w:t>
      </w:r>
      <w:r>
        <w:rPr>
          <w:rFonts w:hint="eastAsia" w:ascii="宋体" w:hAnsi="宋体" w:cs="宋体"/>
          <w:sz w:val="24"/>
          <w:u w:val="single"/>
        </w:rPr>
        <w:t>（项目名称）（分包号：**）</w:t>
      </w:r>
      <w:r>
        <w:rPr>
          <w:rFonts w:hint="eastAsia" w:ascii="宋体" w:hAnsi="宋体" w:cs="宋体"/>
          <w:sz w:val="24"/>
        </w:rPr>
        <w:t>的采购活动，服务全部由符合政策的中小微企业承接。根据《工业和信息化部、国家统计局、国家发展和改革委员会、财政部关于印发中小企业划型标准规定的通知》(工信部联企业[2011]300号）的规定，相关企业（含联合体中的小微企业、签订分包意向协议的小微企业）的具体情况如下：</w:t>
      </w:r>
    </w:p>
    <w:p w14:paraId="07A85BA2">
      <w:pPr>
        <w:spacing w:line="360" w:lineRule="auto"/>
        <w:ind w:firstLine="360"/>
        <w:rPr>
          <w:rFonts w:ascii="宋体" w:hAnsi="宋体" w:cs="宋体"/>
          <w:i/>
          <w:sz w:val="24"/>
          <w:u w:val="single"/>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i/>
          <w:sz w:val="24"/>
        </w:rPr>
        <w:t>，</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sz w:val="24"/>
        </w:rPr>
        <w:t>行业；承接企业为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vertAlign w:val="superscript"/>
        </w:rPr>
        <w:t>1</w:t>
      </w:r>
      <w:r>
        <w:rPr>
          <w:rFonts w:hint="eastAsia" w:ascii="宋体" w:hAnsi="宋体" w:cs="宋体"/>
          <w:sz w:val="24"/>
        </w:rPr>
        <w:t>，属于</w:t>
      </w:r>
      <w:r>
        <w:rPr>
          <w:rFonts w:hint="eastAsia" w:ascii="宋体" w:hAnsi="宋体" w:cs="宋体"/>
          <w:sz w:val="24"/>
          <w:u w:val="single"/>
        </w:rPr>
        <w:t>（中型企业、小型企业、微型企业）；</w:t>
      </w:r>
    </w:p>
    <w:p w14:paraId="60D0159D">
      <w:pPr>
        <w:spacing w:line="360" w:lineRule="auto"/>
        <w:ind w:firstLine="360"/>
        <w:rPr>
          <w:rFonts w:ascii="宋体" w:hAnsi="宋体" w:cs="宋体"/>
          <w:i/>
          <w:sz w:val="24"/>
          <w:u w:val="single"/>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i/>
          <w:sz w:val="24"/>
        </w:rPr>
        <w:t>，</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sz w:val="24"/>
        </w:rPr>
        <w:t>行业；承接企业为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vertAlign w:val="superscript"/>
        </w:rPr>
        <w:t>1</w:t>
      </w:r>
      <w:r>
        <w:rPr>
          <w:rFonts w:hint="eastAsia" w:ascii="宋体" w:hAnsi="宋体" w:cs="宋体"/>
          <w:sz w:val="24"/>
        </w:rPr>
        <w:t>，属于</w:t>
      </w:r>
      <w:r>
        <w:rPr>
          <w:rFonts w:hint="eastAsia" w:ascii="宋体" w:hAnsi="宋体" w:cs="宋体"/>
          <w:sz w:val="24"/>
          <w:u w:val="single"/>
        </w:rPr>
        <w:t>（中型企业、小型企业、微型企业）；</w:t>
      </w:r>
    </w:p>
    <w:p w14:paraId="29DA17FB">
      <w:pPr>
        <w:spacing w:line="360" w:lineRule="auto"/>
        <w:ind w:firstLine="360"/>
        <w:rPr>
          <w:rFonts w:ascii="宋体" w:hAnsi="宋体" w:cs="宋体"/>
          <w:sz w:val="24"/>
        </w:rPr>
      </w:pPr>
      <w:r>
        <w:rPr>
          <w:rFonts w:hint="eastAsia" w:ascii="宋体" w:hAnsi="宋体" w:cs="宋体"/>
          <w:sz w:val="24"/>
        </w:rPr>
        <w:t>……</w:t>
      </w:r>
    </w:p>
    <w:p w14:paraId="2ED6B9E6">
      <w:pPr>
        <w:spacing w:line="360" w:lineRule="auto"/>
        <w:ind w:firstLine="36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EA66B7E">
      <w:pPr>
        <w:spacing w:line="360" w:lineRule="auto"/>
        <w:ind w:firstLine="360"/>
        <w:rPr>
          <w:rFonts w:ascii="宋体" w:hAnsi="宋体" w:cs="宋体"/>
          <w:sz w:val="24"/>
        </w:rPr>
      </w:pPr>
      <w:r>
        <w:rPr>
          <w:rFonts w:hint="eastAsia" w:ascii="宋体" w:hAnsi="宋体" w:cs="宋体"/>
          <w:sz w:val="24"/>
        </w:rPr>
        <w:t>本企业对上述声明内容的真实性负责。如有虚假，将依法承担相应责任。</w:t>
      </w:r>
    </w:p>
    <w:p w14:paraId="5176B0CA">
      <w:pPr>
        <w:spacing w:line="360" w:lineRule="auto"/>
        <w:ind w:firstLine="360"/>
        <w:rPr>
          <w:rFonts w:ascii="宋体" w:hAnsi="宋体" w:cs="宋体"/>
          <w:sz w:val="24"/>
        </w:rPr>
      </w:pPr>
      <w:r>
        <w:rPr>
          <w:rFonts w:hint="eastAsia" w:ascii="宋体" w:hAnsi="宋体" w:cs="宋体"/>
          <w:sz w:val="24"/>
        </w:rPr>
        <w:t>（备注：1、从业人员、营业收入、资产总额填报上一年度数据，无上一年度数据的新成立企业可不填报。2、投标人如不提供此声明函，不得参加专门面向中小企业采购项目或者不得享受小微企业价格扣除政策。此声明函将随成交结果同时公告，接受社会监督。3、服务采购项目中，服务的承接商应当为中小企业，不对其中涉及的货物的制造商、工程的承建商作出要求。）</w:t>
      </w:r>
    </w:p>
    <w:p w14:paraId="51692480">
      <w:pPr>
        <w:spacing w:line="360" w:lineRule="auto"/>
        <w:ind w:right="180"/>
        <w:rPr>
          <w:rFonts w:ascii="宋体" w:hAnsi="宋体" w:cs="宋体"/>
          <w:sz w:val="24"/>
        </w:rPr>
      </w:pPr>
      <w:r>
        <w:rPr>
          <w:rFonts w:hint="eastAsia" w:ascii="宋体" w:hAnsi="宋体" w:cs="宋体"/>
          <w:sz w:val="24"/>
        </w:rPr>
        <w:t>企业名称：（加盖CA电子公章）    日  期：</w:t>
      </w:r>
      <w:r>
        <w:rPr>
          <w:rFonts w:hint="eastAsia" w:ascii="宋体" w:hAnsi="宋体" w:cs="宋体"/>
          <w:sz w:val="24"/>
          <w:u w:val="single"/>
        </w:rPr>
        <w:t xml:space="preserve">       </w:t>
      </w:r>
      <w:r>
        <w:rPr>
          <w:rFonts w:hint="eastAsia" w:ascii="宋体" w:hAnsi="宋体" w:cs="宋体"/>
          <w:sz w:val="24"/>
        </w:rPr>
        <w:t>年___月___日</w:t>
      </w:r>
    </w:p>
    <w:p w14:paraId="49AA2AA6">
      <w:pPr>
        <w:spacing w:line="360" w:lineRule="auto"/>
        <w:ind w:right="180"/>
        <w:rPr>
          <w:rFonts w:ascii="宋体" w:hAnsi="宋体" w:cs="宋体"/>
          <w:sz w:val="24"/>
        </w:rPr>
      </w:pPr>
    </w:p>
    <w:p w14:paraId="20330E94">
      <w:pPr>
        <w:spacing w:line="360" w:lineRule="auto"/>
        <w:ind w:right="180"/>
        <w:rPr>
          <w:rFonts w:ascii="宋体" w:hAnsi="宋体" w:cs="宋体"/>
          <w:sz w:val="24"/>
        </w:rPr>
      </w:pPr>
    </w:p>
    <w:p w14:paraId="61C3094C">
      <w:pPr>
        <w:spacing w:line="360" w:lineRule="auto"/>
        <w:ind w:right="180"/>
        <w:rPr>
          <w:rFonts w:ascii="宋体" w:hAnsi="宋体" w:cs="宋体"/>
          <w:sz w:val="24"/>
        </w:rPr>
      </w:pPr>
    </w:p>
    <w:p w14:paraId="12489808">
      <w:pPr>
        <w:spacing w:line="360" w:lineRule="auto"/>
        <w:ind w:right="180"/>
        <w:rPr>
          <w:rFonts w:ascii="宋体" w:hAnsi="宋体" w:cs="宋体"/>
          <w:sz w:val="24"/>
        </w:rPr>
      </w:pPr>
    </w:p>
    <w:p w14:paraId="05FD2235">
      <w:pPr>
        <w:pStyle w:val="3"/>
        <w:keepNext w:val="0"/>
        <w:snapToGrid w:val="0"/>
        <w:spacing w:before="120" w:after="120"/>
        <w:jc w:val="both"/>
        <w:rPr>
          <w:rFonts w:ascii="宋体" w:hAnsi="宋体" w:eastAsia="宋体" w:cs="宋体"/>
          <w:kern w:val="0"/>
          <w:sz w:val="32"/>
          <w:szCs w:val="32"/>
        </w:rPr>
      </w:pPr>
      <w:bookmarkStart w:id="110" w:name="_Toc20169"/>
      <w:r>
        <w:rPr>
          <w:rFonts w:hint="eastAsia" w:ascii="宋体" w:hAnsi="宋体" w:eastAsia="宋体" w:cs="宋体"/>
          <w:kern w:val="0"/>
          <w:sz w:val="32"/>
          <w:szCs w:val="32"/>
        </w:rPr>
        <w:t>七、残疾人福利性单位声明函</w:t>
      </w:r>
      <w:bookmarkEnd w:id="110"/>
    </w:p>
    <w:p w14:paraId="5B1600AD">
      <w:pPr>
        <w:spacing w:line="360" w:lineRule="auto"/>
        <w:ind w:firstLine="48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141号）的规定，本单位为符合条件的残疾人福利性单位，且本单位参加______单位的采购文件编号为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rPr>
        <w:t>项目（分包号：**）采购活动由本单位提供服务。</w:t>
      </w:r>
    </w:p>
    <w:p w14:paraId="7624DA3D">
      <w:pPr>
        <w:spacing w:line="360" w:lineRule="auto"/>
        <w:ind w:firstLine="480"/>
        <w:rPr>
          <w:rFonts w:ascii="宋体" w:hAnsi="宋体" w:cs="宋体"/>
          <w:sz w:val="24"/>
        </w:rPr>
      </w:pPr>
      <w:r>
        <w:rPr>
          <w:rFonts w:hint="eastAsia" w:ascii="宋体" w:hAnsi="宋体" w:cs="宋体"/>
          <w:sz w:val="24"/>
        </w:rPr>
        <w:t>本单位对上述声明的真实性负责。如有虚假，将依法承担相应责任。</w:t>
      </w:r>
    </w:p>
    <w:p w14:paraId="7ED55DDA">
      <w:pPr>
        <w:spacing w:line="360" w:lineRule="auto"/>
        <w:ind w:firstLine="480"/>
        <w:rPr>
          <w:rFonts w:ascii="宋体" w:hAnsi="宋体" w:cs="宋体"/>
          <w:sz w:val="24"/>
        </w:rPr>
      </w:pPr>
    </w:p>
    <w:p w14:paraId="5A7E7299">
      <w:pPr>
        <w:spacing w:line="360" w:lineRule="auto"/>
        <w:ind w:firstLine="480"/>
        <w:rPr>
          <w:rFonts w:ascii="宋体" w:hAnsi="宋体" w:cs="宋体"/>
          <w:sz w:val="24"/>
        </w:rPr>
      </w:pPr>
      <w:r>
        <w:rPr>
          <w:rFonts w:hint="eastAsia" w:ascii="宋体" w:hAnsi="宋体" w:cs="宋体"/>
          <w:sz w:val="24"/>
        </w:rPr>
        <w:t>（备注：1、投标人如不提供此声明函，价格将不做相应扣除。2、中标人为残疾人福利单位的，此声明函将随中标结果同时公告，接受社会监督。）</w:t>
      </w:r>
    </w:p>
    <w:p w14:paraId="3FFF41E8">
      <w:pPr>
        <w:spacing w:line="360" w:lineRule="auto"/>
        <w:ind w:firstLine="624"/>
        <w:rPr>
          <w:rFonts w:ascii="宋体" w:hAnsi="宋体" w:cs="宋体"/>
          <w:spacing w:val="6"/>
          <w:sz w:val="30"/>
          <w:szCs w:val="30"/>
        </w:rPr>
      </w:pPr>
    </w:p>
    <w:p w14:paraId="3E903174">
      <w:pPr>
        <w:pStyle w:val="224"/>
        <w:spacing w:line="360" w:lineRule="auto"/>
      </w:pPr>
    </w:p>
    <w:p w14:paraId="3CC6169E">
      <w:pPr>
        <w:spacing w:line="360" w:lineRule="auto"/>
        <w:ind w:right="180" w:firstLine="360"/>
        <w:jc w:val="right"/>
        <w:rPr>
          <w:rFonts w:ascii="宋体" w:hAnsi="宋体" w:cs="宋体"/>
          <w:sz w:val="24"/>
        </w:rPr>
      </w:pPr>
      <w:r>
        <w:rPr>
          <w:rFonts w:hint="eastAsia" w:ascii="宋体" w:hAnsi="宋体" w:cs="宋体"/>
          <w:sz w:val="24"/>
        </w:rPr>
        <w:t>企业名称：（加盖CA电子公章）</w:t>
      </w:r>
    </w:p>
    <w:p w14:paraId="165E7F52">
      <w:pPr>
        <w:spacing w:line="360" w:lineRule="auto"/>
        <w:ind w:firstLine="576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年___月___日</w:t>
      </w:r>
    </w:p>
    <w:p w14:paraId="4247310D">
      <w:pPr>
        <w:spacing w:line="360" w:lineRule="auto"/>
        <w:ind w:firstLine="5760"/>
        <w:rPr>
          <w:rFonts w:ascii="宋体" w:hAnsi="宋体" w:cs="宋体"/>
          <w:sz w:val="24"/>
        </w:rPr>
      </w:pPr>
    </w:p>
    <w:p w14:paraId="40318568">
      <w:pPr>
        <w:spacing w:line="360" w:lineRule="auto"/>
        <w:ind w:firstLine="5760"/>
        <w:rPr>
          <w:rFonts w:ascii="宋体" w:hAnsi="宋体" w:cs="宋体"/>
          <w:sz w:val="24"/>
        </w:rPr>
      </w:pPr>
    </w:p>
    <w:p w14:paraId="46D7BDC6">
      <w:pPr>
        <w:spacing w:line="360" w:lineRule="auto"/>
        <w:ind w:firstLine="5760"/>
        <w:rPr>
          <w:rFonts w:ascii="宋体" w:hAnsi="宋体" w:cs="宋体"/>
          <w:sz w:val="24"/>
        </w:rPr>
      </w:pPr>
    </w:p>
    <w:p w14:paraId="5D982A59">
      <w:pPr>
        <w:spacing w:line="360" w:lineRule="auto"/>
        <w:ind w:firstLine="5760"/>
        <w:rPr>
          <w:rFonts w:ascii="宋体" w:hAnsi="宋体" w:cs="宋体"/>
          <w:sz w:val="24"/>
        </w:rPr>
      </w:pPr>
    </w:p>
    <w:p w14:paraId="319D74DF">
      <w:pPr>
        <w:spacing w:line="360" w:lineRule="auto"/>
        <w:ind w:firstLine="5760"/>
        <w:rPr>
          <w:rFonts w:ascii="宋体" w:hAnsi="宋体" w:cs="宋体"/>
          <w:sz w:val="24"/>
        </w:rPr>
      </w:pPr>
    </w:p>
    <w:p w14:paraId="00994F01">
      <w:pPr>
        <w:spacing w:line="360" w:lineRule="auto"/>
        <w:ind w:firstLine="5760"/>
        <w:rPr>
          <w:rFonts w:ascii="宋体" w:hAnsi="宋体" w:cs="宋体"/>
          <w:sz w:val="24"/>
        </w:rPr>
      </w:pPr>
    </w:p>
    <w:p w14:paraId="1478917D">
      <w:pPr>
        <w:spacing w:line="360" w:lineRule="auto"/>
        <w:ind w:firstLine="5760"/>
        <w:rPr>
          <w:rFonts w:ascii="宋体" w:hAnsi="宋体" w:cs="宋体"/>
          <w:sz w:val="24"/>
        </w:rPr>
      </w:pPr>
    </w:p>
    <w:p w14:paraId="70721DC2">
      <w:pPr>
        <w:spacing w:line="360" w:lineRule="auto"/>
        <w:ind w:firstLine="5760"/>
        <w:rPr>
          <w:rFonts w:ascii="宋体" w:hAnsi="宋体" w:cs="宋体"/>
          <w:sz w:val="24"/>
        </w:rPr>
      </w:pPr>
    </w:p>
    <w:p w14:paraId="64EC8D67">
      <w:pPr>
        <w:spacing w:line="360" w:lineRule="auto"/>
        <w:ind w:firstLine="5760"/>
        <w:rPr>
          <w:rFonts w:ascii="宋体" w:hAnsi="宋体" w:cs="宋体"/>
          <w:sz w:val="24"/>
        </w:rPr>
      </w:pPr>
    </w:p>
    <w:p w14:paraId="61F99CA1">
      <w:pPr>
        <w:spacing w:line="360" w:lineRule="auto"/>
        <w:ind w:firstLine="5760"/>
        <w:rPr>
          <w:rFonts w:ascii="宋体" w:hAnsi="宋体" w:cs="宋体"/>
          <w:sz w:val="24"/>
        </w:rPr>
      </w:pPr>
    </w:p>
    <w:p w14:paraId="3FFAC220">
      <w:pPr>
        <w:spacing w:line="360" w:lineRule="auto"/>
        <w:ind w:firstLine="5760"/>
        <w:rPr>
          <w:rFonts w:ascii="宋体" w:hAnsi="宋体" w:cs="宋体"/>
          <w:sz w:val="24"/>
        </w:rPr>
      </w:pPr>
    </w:p>
    <w:p w14:paraId="11F62636">
      <w:pPr>
        <w:spacing w:line="360" w:lineRule="auto"/>
        <w:ind w:firstLine="5760"/>
        <w:rPr>
          <w:rFonts w:ascii="宋体" w:hAnsi="宋体" w:cs="宋体"/>
          <w:sz w:val="24"/>
        </w:rPr>
      </w:pPr>
    </w:p>
    <w:p w14:paraId="2B249E44">
      <w:pPr>
        <w:spacing w:line="360" w:lineRule="auto"/>
        <w:ind w:firstLine="5760"/>
        <w:rPr>
          <w:rFonts w:ascii="宋体" w:hAnsi="宋体" w:cs="宋体"/>
          <w:sz w:val="24"/>
        </w:rPr>
      </w:pPr>
    </w:p>
    <w:p w14:paraId="36D85678">
      <w:pPr>
        <w:spacing w:line="360" w:lineRule="auto"/>
        <w:ind w:firstLine="5760"/>
        <w:rPr>
          <w:rFonts w:ascii="宋体" w:hAnsi="宋体" w:cs="宋体"/>
          <w:sz w:val="24"/>
        </w:rPr>
      </w:pPr>
    </w:p>
    <w:p w14:paraId="247A032D">
      <w:pPr>
        <w:spacing w:line="360" w:lineRule="auto"/>
        <w:ind w:firstLine="5760"/>
        <w:rPr>
          <w:rFonts w:ascii="宋体" w:hAnsi="宋体" w:cs="宋体"/>
          <w:sz w:val="24"/>
        </w:rPr>
      </w:pPr>
    </w:p>
    <w:p w14:paraId="7C586D3C">
      <w:pPr>
        <w:spacing w:line="560" w:lineRule="exact"/>
        <w:outlineLvl w:val="1"/>
        <w:rPr>
          <w:rFonts w:ascii="宋体" w:hAnsi="宋体" w:cs="宋体"/>
          <w:b/>
          <w:sz w:val="32"/>
          <w:szCs w:val="32"/>
        </w:rPr>
      </w:pPr>
      <w:bookmarkStart w:id="111" w:name="_Toc20889"/>
      <w:r>
        <w:rPr>
          <w:rFonts w:hint="eastAsia" w:ascii="宋体" w:hAnsi="宋体" w:cs="宋体"/>
          <w:b/>
          <w:sz w:val="32"/>
          <w:szCs w:val="32"/>
        </w:rPr>
        <w:t>八、技术要求响应及偏离表</w:t>
      </w:r>
      <w:bookmarkEnd w:id="111"/>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3109"/>
        <w:gridCol w:w="2852"/>
        <w:gridCol w:w="1308"/>
        <w:gridCol w:w="1173"/>
      </w:tblGrid>
      <w:tr w14:paraId="2DA5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7" w:type="dxa"/>
            <w:vAlign w:val="center"/>
          </w:tcPr>
          <w:p w14:paraId="676394F9">
            <w:pPr>
              <w:jc w:val="center"/>
              <w:rPr>
                <w:rFonts w:ascii="宋体" w:hAnsi="宋体" w:cs="宋体"/>
                <w:sz w:val="24"/>
              </w:rPr>
            </w:pPr>
            <w:r>
              <w:rPr>
                <w:rFonts w:hint="eastAsia" w:ascii="宋体" w:hAnsi="宋体" w:cs="宋体"/>
                <w:sz w:val="24"/>
              </w:rPr>
              <w:t>序号</w:t>
            </w:r>
          </w:p>
        </w:tc>
        <w:tc>
          <w:tcPr>
            <w:tcW w:w="3109" w:type="dxa"/>
            <w:vAlign w:val="center"/>
          </w:tcPr>
          <w:p w14:paraId="72571029">
            <w:pPr>
              <w:pStyle w:val="44"/>
              <w:spacing w:beforeAutospacing="0" w:afterAutospacing="0"/>
              <w:jc w:val="center"/>
            </w:pPr>
            <w:r>
              <w:rPr>
                <w:rFonts w:hint="eastAsia" w:ascii="宋体" w:hAnsi="宋体" w:cs="宋体"/>
              </w:rPr>
              <w:t>技术要求和商务要求</w:t>
            </w:r>
          </w:p>
        </w:tc>
        <w:tc>
          <w:tcPr>
            <w:tcW w:w="2852" w:type="dxa"/>
            <w:vAlign w:val="center"/>
          </w:tcPr>
          <w:p w14:paraId="1113F0D4">
            <w:pPr>
              <w:pStyle w:val="44"/>
              <w:spacing w:beforeAutospacing="0" w:afterAutospacing="0"/>
              <w:jc w:val="center"/>
            </w:pPr>
            <w:r>
              <w:rPr>
                <w:rFonts w:hint="eastAsia" w:ascii="宋体" w:hAnsi="宋体" w:cs="宋体"/>
              </w:rPr>
              <w:t>响应情况（填报“响应或完全响应”）</w:t>
            </w:r>
          </w:p>
        </w:tc>
        <w:tc>
          <w:tcPr>
            <w:tcW w:w="1308" w:type="dxa"/>
            <w:vAlign w:val="center"/>
          </w:tcPr>
          <w:p w14:paraId="450AB946">
            <w:pPr>
              <w:pStyle w:val="44"/>
              <w:spacing w:beforeAutospacing="0" w:afterAutospacing="0"/>
              <w:jc w:val="center"/>
            </w:pPr>
            <w:r>
              <w:rPr>
                <w:rFonts w:hint="eastAsia" w:ascii="宋体" w:hAnsi="宋体" w:cs="宋体"/>
              </w:rPr>
              <w:t>偏离（填报“正偏离、符合或负偏离”）</w:t>
            </w:r>
          </w:p>
        </w:tc>
        <w:tc>
          <w:tcPr>
            <w:tcW w:w="1173" w:type="dxa"/>
            <w:vAlign w:val="center"/>
          </w:tcPr>
          <w:p w14:paraId="47729E7A">
            <w:pPr>
              <w:jc w:val="center"/>
              <w:rPr>
                <w:rFonts w:ascii="宋体" w:hAnsi="宋体" w:cs="宋体"/>
                <w:sz w:val="24"/>
              </w:rPr>
            </w:pPr>
            <w:r>
              <w:rPr>
                <w:rFonts w:hint="eastAsia" w:ascii="宋体" w:hAnsi="宋体" w:cs="宋体"/>
                <w:sz w:val="24"/>
              </w:rPr>
              <w:t>证明</w:t>
            </w:r>
          </w:p>
          <w:p w14:paraId="13368551">
            <w:pPr>
              <w:jc w:val="center"/>
              <w:rPr>
                <w:rFonts w:ascii="宋体" w:hAnsi="宋体" w:cs="宋体"/>
                <w:sz w:val="24"/>
              </w:rPr>
            </w:pPr>
            <w:r>
              <w:rPr>
                <w:rFonts w:hint="eastAsia" w:ascii="宋体" w:hAnsi="宋体" w:cs="宋体"/>
                <w:sz w:val="24"/>
              </w:rPr>
              <w:t>材料</w:t>
            </w:r>
          </w:p>
        </w:tc>
      </w:tr>
      <w:tr w14:paraId="30E0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27" w:type="dxa"/>
          </w:tcPr>
          <w:p w14:paraId="334F0239">
            <w:pPr>
              <w:jc w:val="center"/>
              <w:rPr>
                <w:rFonts w:ascii="宋体" w:hAnsi="宋体" w:cs="宋体"/>
                <w:sz w:val="24"/>
              </w:rPr>
            </w:pPr>
          </w:p>
        </w:tc>
        <w:tc>
          <w:tcPr>
            <w:tcW w:w="3109" w:type="dxa"/>
          </w:tcPr>
          <w:p w14:paraId="791504B1">
            <w:pPr>
              <w:jc w:val="center"/>
              <w:rPr>
                <w:rFonts w:ascii="宋体" w:hAnsi="宋体" w:cs="宋体"/>
                <w:sz w:val="24"/>
              </w:rPr>
            </w:pPr>
          </w:p>
        </w:tc>
        <w:tc>
          <w:tcPr>
            <w:tcW w:w="2852" w:type="dxa"/>
          </w:tcPr>
          <w:p w14:paraId="3661FF26">
            <w:pPr>
              <w:jc w:val="center"/>
              <w:rPr>
                <w:rFonts w:ascii="宋体" w:hAnsi="宋体" w:cs="宋体"/>
                <w:sz w:val="24"/>
              </w:rPr>
            </w:pPr>
          </w:p>
        </w:tc>
        <w:tc>
          <w:tcPr>
            <w:tcW w:w="1308" w:type="dxa"/>
          </w:tcPr>
          <w:p w14:paraId="68863097">
            <w:pPr>
              <w:jc w:val="center"/>
              <w:rPr>
                <w:rFonts w:ascii="宋体" w:hAnsi="宋体" w:cs="宋体"/>
                <w:sz w:val="24"/>
              </w:rPr>
            </w:pPr>
          </w:p>
        </w:tc>
        <w:tc>
          <w:tcPr>
            <w:tcW w:w="1173" w:type="dxa"/>
          </w:tcPr>
          <w:p w14:paraId="7F02FE3F">
            <w:pPr>
              <w:jc w:val="center"/>
              <w:rPr>
                <w:rFonts w:ascii="宋体" w:hAnsi="宋体" w:cs="宋体"/>
                <w:sz w:val="24"/>
              </w:rPr>
            </w:pPr>
          </w:p>
        </w:tc>
      </w:tr>
      <w:tr w14:paraId="55FBE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27" w:type="dxa"/>
          </w:tcPr>
          <w:p w14:paraId="38FC322C">
            <w:pPr>
              <w:jc w:val="center"/>
              <w:rPr>
                <w:rFonts w:ascii="宋体" w:hAnsi="宋体" w:cs="宋体"/>
                <w:sz w:val="24"/>
              </w:rPr>
            </w:pPr>
          </w:p>
        </w:tc>
        <w:tc>
          <w:tcPr>
            <w:tcW w:w="3109" w:type="dxa"/>
          </w:tcPr>
          <w:p w14:paraId="3E1D85DF">
            <w:pPr>
              <w:jc w:val="center"/>
              <w:rPr>
                <w:rFonts w:ascii="宋体" w:hAnsi="宋体" w:cs="宋体"/>
                <w:sz w:val="24"/>
              </w:rPr>
            </w:pPr>
          </w:p>
        </w:tc>
        <w:tc>
          <w:tcPr>
            <w:tcW w:w="2852" w:type="dxa"/>
          </w:tcPr>
          <w:p w14:paraId="0DA58538">
            <w:pPr>
              <w:jc w:val="center"/>
              <w:rPr>
                <w:rFonts w:ascii="宋体" w:hAnsi="宋体" w:cs="宋体"/>
                <w:sz w:val="24"/>
              </w:rPr>
            </w:pPr>
          </w:p>
        </w:tc>
        <w:tc>
          <w:tcPr>
            <w:tcW w:w="1308" w:type="dxa"/>
          </w:tcPr>
          <w:p w14:paraId="21F47A94">
            <w:pPr>
              <w:jc w:val="center"/>
              <w:rPr>
                <w:rFonts w:ascii="宋体" w:hAnsi="宋体" w:cs="宋体"/>
                <w:sz w:val="24"/>
              </w:rPr>
            </w:pPr>
          </w:p>
        </w:tc>
        <w:tc>
          <w:tcPr>
            <w:tcW w:w="1173" w:type="dxa"/>
          </w:tcPr>
          <w:p w14:paraId="3B0F5350">
            <w:pPr>
              <w:jc w:val="center"/>
              <w:rPr>
                <w:rFonts w:ascii="宋体" w:hAnsi="宋体" w:cs="宋体"/>
                <w:sz w:val="24"/>
              </w:rPr>
            </w:pPr>
          </w:p>
        </w:tc>
      </w:tr>
      <w:tr w14:paraId="6E349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27" w:type="dxa"/>
          </w:tcPr>
          <w:p w14:paraId="3C9397C2">
            <w:pPr>
              <w:jc w:val="center"/>
              <w:rPr>
                <w:rFonts w:ascii="宋体" w:hAnsi="宋体" w:cs="宋体"/>
                <w:sz w:val="24"/>
              </w:rPr>
            </w:pPr>
          </w:p>
        </w:tc>
        <w:tc>
          <w:tcPr>
            <w:tcW w:w="3109" w:type="dxa"/>
          </w:tcPr>
          <w:p w14:paraId="0531C299">
            <w:pPr>
              <w:jc w:val="center"/>
              <w:rPr>
                <w:rFonts w:ascii="宋体" w:hAnsi="宋体" w:cs="宋体"/>
                <w:sz w:val="24"/>
              </w:rPr>
            </w:pPr>
          </w:p>
        </w:tc>
        <w:tc>
          <w:tcPr>
            <w:tcW w:w="2852" w:type="dxa"/>
          </w:tcPr>
          <w:p w14:paraId="6103283E">
            <w:pPr>
              <w:jc w:val="center"/>
              <w:rPr>
                <w:rFonts w:ascii="宋体" w:hAnsi="宋体" w:cs="宋体"/>
                <w:sz w:val="24"/>
              </w:rPr>
            </w:pPr>
          </w:p>
        </w:tc>
        <w:tc>
          <w:tcPr>
            <w:tcW w:w="1308" w:type="dxa"/>
          </w:tcPr>
          <w:p w14:paraId="512BC95C">
            <w:pPr>
              <w:jc w:val="center"/>
              <w:rPr>
                <w:rFonts w:ascii="宋体" w:hAnsi="宋体" w:cs="宋体"/>
                <w:sz w:val="24"/>
              </w:rPr>
            </w:pPr>
          </w:p>
        </w:tc>
        <w:tc>
          <w:tcPr>
            <w:tcW w:w="1173" w:type="dxa"/>
          </w:tcPr>
          <w:p w14:paraId="17D8AB69">
            <w:pPr>
              <w:jc w:val="center"/>
              <w:rPr>
                <w:rFonts w:ascii="宋体" w:hAnsi="宋体" w:cs="宋体"/>
                <w:sz w:val="24"/>
              </w:rPr>
            </w:pPr>
          </w:p>
        </w:tc>
      </w:tr>
      <w:tr w14:paraId="4FE8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27" w:type="dxa"/>
          </w:tcPr>
          <w:p w14:paraId="73B47FE2">
            <w:pPr>
              <w:jc w:val="center"/>
              <w:rPr>
                <w:rFonts w:ascii="宋体" w:hAnsi="宋体" w:cs="宋体"/>
                <w:sz w:val="24"/>
              </w:rPr>
            </w:pPr>
          </w:p>
        </w:tc>
        <w:tc>
          <w:tcPr>
            <w:tcW w:w="3109" w:type="dxa"/>
          </w:tcPr>
          <w:p w14:paraId="6E9B057F">
            <w:pPr>
              <w:jc w:val="center"/>
              <w:rPr>
                <w:rFonts w:ascii="宋体" w:hAnsi="宋体" w:cs="宋体"/>
                <w:sz w:val="24"/>
              </w:rPr>
            </w:pPr>
          </w:p>
        </w:tc>
        <w:tc>
          <w:tcPr>
            <w:tcW w:w="2852" w:type="dxa"/>
          </w:tcPr>
          <w:p w14:paraId="4C2ED7D7">
            <w:pPr>
              <w:jc w:val="center"/>
              <w:rPr>
                <w:rFonts w:ascii="宋体" w:hAnsi="宋体" w:cs="宋体"/>
                <w:sz w:val="24"/>
              </w:rPr>
            </w:pPr>
          </w:p>
        </w:tc>
        <w:tc>
          <w:tcPr>
            <w:tcW w:w="1308" w:type="dxa"/>
          </w:tcPr>
          <w:p w14:paraId="3C1B32F0">
            <w:pPr>
              <w:jc w:val="center"/>
              <w:rPr>
                <w:rFonts w:ascii="宋体" w:hAnsi="宋体" w:cs="宋体"/>
                <w:sz w:val="24"/>
              </w:rPr>
            </w:pPr>
          </w:p>
        </w:tc>
        <w:tc>
          <w:tcPr>
            <w:tcW w:w="1173" w:type="dxa"/>
          </w:tcPr>
          <w:p w14:paraId="7A7E073D">
            <w:pPr>
              <w:jc w:val="center"/>
              <w:rPr>
                <w:rFonts w:ascii="宋体" w:hAnsi="宋体" w:cs="宋体"/>
                <w:sz w:val="24"/>
              </w:rPr>
            </w:pPr>
          </w:p>
        </w:tc>
      </w:tr>
      <w:tr w14:paraId="6AE4B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27" w:type="dxa"/>
          </w:tcPr>
          <w:p w14:paraId="29213CA0">
            <w:pPr>
              <w:jc w:val="center"/>
              <w:rPr>
                <w:rFonts w:ascii="宋体" w:hAnsi="宋体" w:cs="宋体"/>
                <w:sz w:val="24"/>
              </w:rPr>
            </w:pPr>
          </w:p>
        </w:tc>
        <w:tc>
          <w:tcPr>
            <w:tcW w:w="3109" w:type="dxa"/>
          </w:tcPr>
          <w:p w14:paraId="7B1F8BA8">
            <w:pPr>
              <w:jc w:val="center"/>
              <w:rPr>
                <w:rFonts w:ascii="宋体" w:hAnsi="宋体" w:cs="宋体"/>
                <w:sz w:val="24"/>
              </w:rPr>
            </w:pPr>
          </w:p>
        </w:tc>
        <w:tc>
          <w:tcPr>
            <w:tcW w:w="2852" w:type="dxa"/>
          </w:tcPr>
          <w:p w14:paraId="043D9B74">
            <w:pPr>
              <w:jc w:val="center"/>
              <w:rPr>
                <w:rFonts w:ascii="宋体" w:hAnsi="宋体" w:cs="宋体"/>
                <w:sz w:val="24"/>
              </w:rPr>
            </w:pPr>
          </w:p>
        </w:tc>
        <w:tc>
          <w:tcPr>
            <w:tcW w:w="1308" w:type="dxa"/>
          </w:tcPr>
          <w:p w14:paraId="4A816883">
            <w:pPr>
              <w:jc w:val="center"/>
              <w:rPr>
                <w:rFonts w:ascii="宋体" w:hAnsi="宋体" w:cs="宋体"/>
                <w:sz w:val="24"/>
              </w:rPr>
            </w:pPr>
          </w:p>
        </w:tc>
        <w:tc>
          <w:tcPr>
            <w:tcW w:w="1173" w:type="dxa"/>
          </w:tcPr>
          <w:p w14:paraId="61934C58">
            <w:pPr>
              <w:jc w:val="center"/>
              <w:rPr>
                <w:rFonts w:ascii="宋体" w:hAnsi="宋体" w:cs="宋体"/>
                <w:sz w:val="24"/>
              </w:rPr>
            </w:pPr>
          </w:p>
        </w:tc>
      </w:tr>
      <w:tr w14:paraId="061D0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27" w:type="dxa"/>
          </w:tcPr>
          <w:p w14:paraId="6309ED3A">
            <w:pPr>
              <w:jc w:val="center"/>
              <w:rPr>
                <w:rFonts w:ascii="宋体" w:hAnsi="宋体" w:cs="宋体"/>
                <w:sz w:val="24"/>
              </w:rPr>
            </w:pPr>
          </w:p>
        </w:tc>
        <w:tc>
          <w:tcPr>
            <w:tcW w:w="3109" w:type="dxa"/>
          </w:tcPr>
          <w:p w14:paraId="0EDEC4E2">
            <w:pPr>
              <w:jc w:val="center"/>
              <w:rPr>
                <w:rFonts w:ascii="宋体" w:hAnsi="宋体" w:cs="宋体"/>
                <w:sz w:val="24"/>
              </w:rPr>
            </w:pPr>
          </w:p>
        </w:tc>
        <w:tc>
          <w:tcPr>
            <w:tcW w:w="2852" w:type="dxa"/>
          </w:tcPr>
          <w:p w14:paraId="1333BA6B">
            <w:pPr>
              <w:jc w:val="center"/>
              <w:rPr>
                <w:rFonts w:ascii="宋体" w:hAnsi="宋体" w:cs="宋体"/>
                <w:sz w:val="24"/>
              </w:rPr>
            </w:pPr>
          </w:p>
        </w:tc>
        <w:tc>
          <w:tcPr>
            <w:tcW w:w="1308" w:type="dxa"/>
          </w:tcPr>
          <w:p w14:paraId="428343B5">
            <w:pPr>
              <w:jc w:val="center"/>
              <w:rPr>
                <w:rFonts w:ascii="宋体" w:hAnsi="宋体" w:cs="宋体"/>
                <w:sz w:val="24"/>
              </w:rPr>
            </w:pPr>
          </w:p>
        </w:tc>
        <w:tc>
          <w:tcPr>
            <w:tcW w:w="1173" w:type="dxa"/>
          </w:tcPr>
          <w:p w14:paraId="40C9505E">
            <w:pPr>
              <w:jc w:val="center"/>
              <w:rPr>
                <w:rFonts w:ascii="宋体" w:hAnsi="宋体" w:cs="宋体"/>
                <w:sz w:val="24"/>
              </w:rPr>
            </w:pPr>
          </w:p>
        </w:tc>
      </w:tr>
      <w:tr w14:paraId="0D23A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27" w:type="dxa"/>
          </w:tcPr>
          <w:p w14:paraId="22F9CE8C">
            <w:pPr>
              <w:jc w:val="center"/>
              <w:rPr>
                <w:rFonts w:ascii="宋体" w:hAnsi="宋体" w:cs="宋体"/>
                <w:sz w:val="24"/>
              </w:rPr>
            </w:pPr>
          </w:p>
        </w:tc>
        <w:tc>
          <w:tcPr>
            <w:tcW w:w="3109" w:type="dxa"/>
          </w:tcPr>
          <w:p w14:paraId="64759DF5">
            <w:pPr>
              <w:jc w:val="center"/>
              <w:rPr>
                <w:rFonts w:ascii="宋体" w:hAnsi="宋体" w:cs="宋体"/>
                <w:sz w:val="24"/>
              </w:rPr>
            </w:pPr>
          </w:p>
        </w:tc>
        <w:tc>
          <w:tcPr>
            <w:tcW w:w="2852" w:type="dxa"/>
          </w:tcPr>
          <w:p w14:paraId="0F39BCB0">
            <w:pPr>
              <w:jc w:val="center"/>
              <w:rPr>
                <w:rFonts w:ascii="宋体" w:hAnsi="宋体" w:cs="宋体"/>
                <w:sz w:val="24"/>
              </w:rPr>
            </w:pPr>
          </w:p>
        </w:tc>
        <w:tc>
          <w:tcPr>
            <w:tcW w:w="1308" w:type="dxa"/>
          </w:tcPr>
          <w:p w14:paraId="35086901">
            <w:pPr>
              <w:jc w:val="center"/>
              <w:rPr>
                <w:rFonts w:ascii="宋体" w:hAnsi="宋体" w:cs="宋体"/>
                <w:sz w:val="24"/>
              </w:rPr>
            </w:pPr>
          </w:p>
        </w:tc>
        <w:tc>
          <w:tcPr>
            <w:tcW w:w="1173" w:type="dxa"/>
          </w:tcPr>
          <w:p w14:paraId="1EB126A1">
            <w:pPr>
              <w:jc w:val="center"/>
              <w:rPr>
                <w:rFonts w:ascii="宋体" w:hAnsi="宋体" w:cs="宋体"/>
                <w:sz w:val="24"/>
              </w:rPr>
            </w:pPr>
          </w:p>
        </w:tc>
      </w:tr>
      <w:tr w14:paraId="091D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27" w:type="dxa"/>
          </w:tcPr>
          <w:p w14:paraId="2C6802A0">
            <w:pPr>
              <w:jc w:val="center"/>
              <w:rPr>
                <w:rFonts w:ascii="宋体" w:hAnsi="宋体" w:cs="宋体"/>
                <w:sz w:val="24"/>
              </w:rPr>
            </w:pPr>
          </w:p>
        </w:tc>
        <w:tc>
          <w:tcPr>
            <w:tcW w:w="3109" w:type="dxa"/>
          </w:tcPr>
          <w:p w14:paraId="2D398978">
            <w:pPr>
              <w:jc w:val="center"/>
              <w:rPr>
                <w:rFonts w:ascii="宋体" w:hAnsi="宋体" w:cs="宋体"/>
                <w:sz w:val="24"/>
              </w:rPr>
            </w:pPr>
            <w:r>
              <w:rPr>
                <w:rFonts w:hint="eastAsia" w:ascii="宋体" w:hAnsi="宋体" w:cs="宋体"/>
                <w:sz w:val="24"/>
              </w:rPr>
              <w:t>……</w:t>
            </w:r>
          </w:p>
        </w:tc>
        <w:tc>
          <w:tcPr>
            <w:tcW w:w="2852" w:type="dxa"/>
          </w:tcPr>
          <w:p w14:paraId="135B962A">
            <w:pPr>
              <w:jc w:val="center"/>
              <w:rPr>
                <w:rFonts w:ascii="宋体" w:hAnsi="宋体" w:cs="宋体"/>
                <w:sz w:val="24"/>
              </w:rPr>
            </w:pPr>
          </w:p>
        </w:tc>
        <w:tc>
          <w:tcPr>
            <w:tcW w:w="1308" w:type="dxa"/>
          </w:tcPr>
          <w:p w14:paraId="3B9C8D5E">
            <w:pPr>
              <w:jc w:val="center"/>
              <w:rPr>
                <w:rFonts w:ascii="宋体" w:hAnsi="宋体" w:cs="宋体"/>
                <w:sz w:val="24"/>
              </w:rPr>
            </w:pPr>
          </w:p>
        </w:tc>
        <w:tc>
          <w:tcPr>
            <w:tcW w:w="1173" w:type="dxa"/>
          </w:tcPr>
          <w:p w14:paraId="7FE82D41">
            <w:pPr>
              <w:jc w:val="center"/>
              <w:rPr>
                <w:rFonts w:ascii="宋体" w:hAnsi="宋体" w:cs="宋体"/>
                <w:sz w:val="24"/>
              </w:rPr>
            </w:pPr>
          </w:p>
        </w:tc>
      </w:tr>
    </w:tbl>
    <w:p w14:paraId="3CD0185D">
      <w:pPr>
        <w:spacing w:line="588" w:lineRule="exact"/>
        <w:rPr>
          <w:rFonts w:ascii="宋体" w:hAnsi="宋体" w:cs="宋体"/>
          <w:sz w:val="24"/>
        </w:rPr>
      </w:pPr>
      <w:r>
        <w:rPr>
          <w:rFonts w:hint="eastAsia" w:ascii="宋体" w:hAnsi="宋体" w:cs="宋体"/>
          <w:sz w:val="24"/>
        </w:rPr>
        <w:t>1.投标人必须对技术要求和商务要求中的实质性要求（加斜体下划线内容或打“★”内容）做出明确响应，否则作无效响应处理。</w:t>
      </w:r>
    </w:p>
    <w:p w14:paraId="16436BF9">
      <w:pPr>
        <w:spacing w:line="588" w:lineRule="exact"/>
        <w:rPr>
          <w:rFonts w:ascii="宋体" w:hAnsi="宋体" w:cs="宋体"/>
          <w:sz w:val="24"/>
        </w:rPr>
      </w:pPr>
      <w:r>
        <w:rPr>
          <w:rFonts w:hint="eastAsia" w:ascii="宋体" w:hAnsi="宋体" w:cs="宋体"/>
          <w:sz w:val="24"/>
        </w:rPr>
        <w:t>2.如果采购文件要求提供证明材料，投标人必须将证明材料列于该表之下。</w:t>
      </w:r>
    </w:p>
    <w:p w14:paraId="3391EE2C">
      <w:pPr>
        <w:spacing w:line="588" w:lineRule="exact"/>
        <w:rPr>
          <w:rFonts w:ascii="宋体" w:hAnsi="宋体" w:cs="宋体"/>
          <w:sz w:val="24"/>
        </w:rPr>
      </w:pPr>
      <w:r>
        <w:rPr>
          <w:rFonts w:hint="eastAsia" w:ascii="宋体" w:hAnsi="宋体" w:cs="宋体"/>
          <w:sz w:val="24"/>
        </w:rPr>
        <w:t>3. 凡响应文件中所提供货物或服务与谈判文件有偏离的（包括正偏离，用+号表示和负偏离，用－号表示），均应在此表中详细列出并说明理由（内容较多的可以标注见响应文件第几页），未在此表中列出的视同完全满足谈判文件要求。</w:t>
      </w:r>
    </w:p>
    <w:p w14:paraId="77D8970F">
      <w:pPr>
        <w:spacing w:line="588" w:lineRule="exact"/>
        <w:rPr>
          <w:rFonts w:ascii="宋体" w:hAnsi="宋体" w:cs="宋体"/>
          <w:sz w:val="24"/>
        </w:rPr>
      </w:pPr>
      <w:r>
        <w:rPr>
          <w:rFonts w:hint="eastAsia" w:ascii="宋体" w:hAnsi="宋体" w:cs="宋体"/>
          <w:sz w:val="24"/>
        </w:rPr>
        <w:t>4.行数不够，可自行添加。</w:t>
      </w:r>
    </w:p>
    <w:p w14:paraId="38E2CEDC">
      <w:pPr>
        <w:spacing w:line="588" w:lineRule="exact"/>
        <w:rPr>
          <w:rFonts w:ascii="宋体" w:hAnsi="宋体" w:cs="宋体"/>
          <w:sz w:val="24"/>
        </w:rPr>
      </w:pPr>
    </w:p>
    <w:p w14:paraId="3C03780D">
      <w:pPr>
        <w:pStyle w:val="142"/>
        <w:spacing w:line="440" w:lineRule="exact"/>
        <w:rPr>
          <w:rFonts w:ascii="宋体" w:hAnsi="宋体" w:eastAsia="宋体" w:cs="宋体"/>
          <w:sz w:val="24"/>
        </w:rPr>
      </w:pPr>
    </w:p>
    <w:p w14:paraId="03B85F48">
      <w:pPr>
        <w:pStyle w:val="142"/>
        <w:spacing w:line="440" w:lineRule="exact"/>
        <w:rPr>
          <w:rFonts w:ascii="宋体" w:hAnsi="宋体" w:eastAsia="宋体" w:cs="宋体"/>
          <w:sz w:val="24"/>
        </w:rPr>
      </w:pPr>
    </w:p>
    <w:p w14:paraId="14DDB822">
      <w:pPr>
        <w:pStyle w:val="142"/>
        <w:spacing w:line="440" w:lineRule="exact"/>
        <w:rPr>
          <w:rFonts w:ascii="宋体" w:hAnsi="宋体" w:eastAsia="宋体" w:cs="宋体"/>
          <w:sz w:val="24"/>
        </w:rPr>
      </w:pPr>
    </w:p>
    <w:p w14:paraId="543C0515">
      <w:pPr>
        <w:pStyle w:val="142"/>
        <w:spacing w:line="440" w:lineRule="exact"/>
        <w:rPr>
          <w:rFonts w:ascii="宋体" w:hAnsi="宋体" w:eastAsia="宋体" w:cs="宋体"/>
          <w:sz w:val="24"/>
        </w:rPr>
      </w:pPr>
    </w:p>
    <w:p w14:paraId="0CAD7503">
      <w:pPr>
        <w:pStyle w:val="142"/>
        <w:spacing w:line="440" w:lineRule="exact"/>
        <w:rPr>
          <w:rFonts w:ascii="宋体" w:hAnsi="宋体" w:eastAsia="宋体" w:cs="宋体"/>
          <w:sz w:val="24"/>
        </w:rPr>
      </w:pPr>
    </w:p>
    <w:p w14:paraId="003D322C">
      <w:pPr>
        <w:pStyle w:val="142"/>
        <w:spacing w:line="440" w:lineRule="exact"/>
        <w:rPr>
          <w:rFonts w:ascii="宋体" w:hAnsi="宋体" w:eastAsia="宋体" w:cs="宋体"/>
        </w:rPr>
      </w:pPr>
    </w:p>
    <w:p w14:paraId="4B27FFC0">
      <w:pPr>
        <w:pStyle w:val="142"/>
        <w:spacing w:line="440" w:lineRule="exact"/>
        <w:outlineLvl w:val="1"/>
        <w:rPr>
          <w:rFonts w:ascii="宋体" w:hAnsi="宋体" w:eastAsia="宋体" w:cs="宋体"/>
        </w:rPr>
      </w:pPr>
      <w:bookmarkStart w:id="112" w:name="_Toc27769"/>
      <w:r>
        <w:rPr>
          <w:rFonts w:hint="eastAsia" w:ascii="宋体" w:hAnsi="宋体" w:eastAsia="宋体" w:cs="宋体"/>
        </w:rPr>
        <w:t>九、项目实施方案</w:t>
      </w:r>
      <w:bookmarkEnd w:id="102"/>
      <w:bookmarkEnd w:id="103"/>
      <w:bookmarkEnd w:id="104"/>
      <w:bookmarkEnd w:id="105"/>
      <w:bookmarkEnd w:id="106"/>
      <w:bookmarkEnd w:id="112"/>
    </w:p>
    <w:p w14:paraId="4A56A176">
      <w:pPr>
        <w:pStyle w:val="143"/>
        <w:spacing w:line="440" w:lineRule="exact"/>
        <w:jc w:val="center"/>
        <w:rPr>
          <w:rFonts w:ascii="宋体" w:hAnsi="宋体" w:eastAsia="宋体" w:cs="宋体"/>
          <w:b/>
          <w:bCs/>
          <w:sz w:val="32"/>
          <w:szCs w:val="32"/>
        </w:rPr>
      </w:pPr>
      <w:bookmarkStart w:id="113" w:name="_Toc15480"/>
      <w:bookmarkStart w:id="114" w:name="_Toc18323"/>
      <w:bookmarkStart w:id="115" w:name="_Toc11088"/>
      <w:bookmarkStart w:id="116" w:name="_Toc16085"/>
      <w:r>
        <w:rPr>
          <w:rFonts w:hint="eastAsia" w:ascii="宋体" w:hAnsi="宋体" w:eastAsia="宋体" w:cs="宋体"/>
          <w:b/>
          <w:bCs/>
          <w:sz w:val="32"/>
          <w:szCs w:val="32"/>
        </w:rPr>
        <w:t>格式自拟</w:t>
      </w:r>
      <w:bookmarkEnd w:id="113"/>
      <w:bookmarkEnd w:id="114"/>
      <w:bookmarkEnd w:id="115"/>
      <w:bookmarkEnd w:id="116"/>
    </w:p>
    <w:p w14:paraId="3446BB71">
      <w:pPr>
        <w:pStyle w:val="143"/>
        <w:spacing w:line="440" w:lineRule="exact"/>
        <w:jc w:val="center"/>
        <w:rPr>
          <w:rFonts w:ascii="宋体" w:hAnsi="宋体" w:eastAsia="宋体" w:cs="宋体"/>
          <w:b/>
          <w:bCs/>
          <w:sz w:val="32"/>
          <w:szCs w:val="32"/>
        </w:rPr>
      </w:pPr>
    </w:p>
    <w:p w14:paraId="29203950">
      <w:pPr>
        <w:pStyle w:val="143"/>
        <w:spacing w:line="440" w:lineRule="exact"/>
        <w:jc w:val="center"/>
        <w:rPr>
          <w:rFonts w:ascii="宋体" w:hAnsi="宋体" w:eastAsia="宋体" w:cs="宋体"/>
          <w:b/>
          <w:bCs/>
          <w:sz w:val="32"/>
          <w:szCs w:val="32"/>
        </w:rPr>
      </w:pPr>
    </w:p>
    <w:p w14:paraId="0AAEFA65">
      <w:pPr>
        <w:pStyle w:val="143"/>
        <w:spacing w:line="440" w:lineRule="exact"/>
        <w:jc w:val="center"/>
        <w:rPr>
          <w:rFonts w:ascii="宋体" w:hAnsi="宋体" w:eastAsia="宋体" w:cs="宋体"/>
          <w:b/>
          <w:bCs/>
          <w:sz w:val="32"/>
          <w:szCs w:val="32"/>
        </w:rPr>
      </w:pPr>
    </w:p>
    <w:p w14:paraId="787D1151">
      <w:pPr>
        <w:pStyle w:val="124"/>
        <w:spacing w:line="440" w:lineRule="exact"/>
        <w:outlineLvl w:val="1"/>
        <w:rPr>
          <w:rFonts w:ascii="宋体" w:hAnsi="宋体" w:eastAsia="宋体" w:cs="宋体"/>
        </w:rPr>
      </w:pPr>
      <w:bookmarkStart w:id="117" w:name="_Toc2404"/>
      <w:bookmarkStart w:id="118" w:name="_Toc8107"/>
      <w:bookmarkStart w:id="119" w:name="_Toc19056"/>
      <w:bookmarkStart w:id="120" w:name="_Toc8063"/>
      <w:bookmarkStart w:id="121" w:name="_Toc17714"/>
      <w:bookmarkStart w:id="122" w:name="_Toc493236036"/>
      <w:r>
        <w:rPr>
          <w:rFonts w:hint="eastAsia" w:ascii="宋体" w:hAnsi="宋体" w:eastAsia="宋体" w:cs="宋体"/>
        </w:rPr>
        <w:t>十、质量保证及服务方案</w:t>
      </w:r>
      <w:bookmarkEnd w:id="117"/>
      <w:bookmarkEnd w:id="118"/>
      <w:bookmarkEnd w:id="119"/>
      <w:bookmarkEnd w:id="120"/>
      <w:bookmarkEnd w:id="121"/>
      <w:bookmarkEnd w:id="122"/>
    </w:p>
    <w:p w14:paraId="710E4E61">
      <w:pPr>
        <w:pStyle w:val="144"/>
        <w:spacing w:line="440" w:lineRule="exact"/>
        <w:jc w:val="center"/>
        <w:rPr>
          <w:rFonts w:ascii="宋体" w:hAnsi="宋体" w:eastAsia="宋体" w:cs="宋体"/>
          <w:b/>
          <w:bCs/>
          <w:sz w:val="32"/>
          <w:szCs w:val="32"/>
        </w:rPr>
      </w:pPr>
      <w:bookmarkStart w:id="123" w:name="_Toc14498"/>
      <w:bookmarkStart w:id="124" w:name="_Toc19161"/>
      <w:bookmarkStart w:id="125" w:name="_Toc31027"/>
      <w:bookmarkStart w:id="126" w:name="_Toc3492"/>
    </w:p>
    <w:p w14:paraId="4CE1C61D">
      <w:pPr>
        <w:pStyle w:val="144"/>
        <w:spacing w:line="440" w:lineRule="exact"/>
        <w:jc w:val="center"/>
        <w:rPr>
          <w:rFonts w:ascii="宋体" w:hAnsi="宋体" w:eastAsia="宋体" w:cs="宋体"/>
          <w:b/>
          <w:bCs/>
          <w:sz w:val="32"/>
          <w:szCs w:val="32"/>
        </w:rPr>
      </w:pPr>
      <w:r>
        <w:rPr>
          <w:rFonts w:hint="eastAsia" w:ascii="宋体" w:hAnsi="宋体" w:eastAsia="宋体" w:cs="宋体"/>
          <w:b/>
          <w:bCs/>
          <w:sz w:val="32"/>
          <w:szCs w:val="32"/>
        </w:rPr>
        <w:t>格式自拟</w:t>
      </w:r>
      <w:bookmarkEnd w:id="123"/>
      <w:bookmarkEnd w:id="124"/>
      <w:bookmarkEnd w:id="125"/>
      <w:bookmarkEnd w:id="126"/>
    </w:p>
    <w:p w14:paraId="52411017">
      <w:pPr>
        <w:pStyle w:val="144"/>
        <w:spacing w:line="440" w:lineRule="exact"/>
        <w:jc w:val="center"/>
        <w:rPr>
          <w:rFonts w:ascii="宋体" w:hAnsi="宋体" w:eastAsia="宋体" w:cs="宋体"/>
          <w:b/>
          <w:bCs/>
          <w:sz w:val="32"/>
          <w:szCs w:val="32"/>
        </w:rPr>
      </w:pPr>
    </w:p>
    <w:p w14:paraId="78771D33">
      <w:pPr>
        <w:pStyle w:val="144"/>
        <w:spacing w:line="440" w:lineRule="exact"/>
        <w:jc w:val="center"/>
        <w:rPr>
          <w:rFonts w:ascii="宋体" w:hAnsi="宋体" w:eastAsia="宋体" w:cs="宋体"/>
          <w:b/>
          <w:bCs/>
          <w:sz w:val="32"/>
          <w:szCs w:val="32"/>
        </w:rPr>
      </w:pPr>
    </w:p>
    <w:p w14:paraId="2731FBD3">
      <w:pPr>
        <w:pStyle w:val="144"/>
        <w:spacing w:line="440" w:lineRule="exact"/>
        <w:jc w:val="center"/>
        <w:rPr>
          <w:rFonts w:ascii="宋体" w:hAnsi="宋体" w:eastAsia="宋体" w:cs="宋体"/>
          <w:b/>
          <w:bCs/>
          <w:sz w:val="32"/>
          <w:szCs w:val="32"/>
        </w:rPr>
      </w:pPr>
    </w:p>
    <w:p w14:paraId="7AB8B66B">
      <w:pPr>
        <w:pStyle w:val="124"/>
        <w:spacing w:line="440" w:lineRule="exact"/>
        <w:outlineLvl w:val="1"/>
        <w:rPr>
          <w:rFonts w:ascii="宋体" w:hAnsi="宋体" w:eastAsia="宋体" w:cs="宋体"/>
        </w:rPr>
      </w:pPr>
      <w:bookmarkStart w:id="127" w:name="_Toc278"/>
      <w:r>
        <w:rPr>
          <w:rFonts w:hint="eastAsia" w:ascii="宋体" w:hAnsi="宋体" w:eastAsia="宋体" w:cs="宋体"/>
        </w:rPr>
        <w:t>十一、设施、设备（工具）、耗材清单</w:t>
      </w:r>
      <w:bookmarkEnd w:id="127"/>
    </w:p>
    <w:p w14:paraId="44009189">
      <w:pPr>
        <w:pStyle w:val="144"/>
        <w:spacing w:line="440" w:lineRule="exact"/>
        <w:jc w:val="center"/>
        <w:rPr>
          <w:rFonts w:ascii="宋体" w:hAnsi="宋体" w:eastAsia="宋体" w:cs="宋体"/>
          <w:b/>
          <w:bCs/>
          <w:sz w:val="32"/>
          <w:szCs w:val="32"/>
        </w:rPr>
      </w:pPr>
    </w:p>
    <w:p w14:paraId="1B3B2D25">
      <w:pPr>
        <w:pStyle w:val="144"/>
        <w:spacing w:line="440" w:lineRule="exact"/>
        <w:jc w:val="center"/>
        <w:rPr>
          <w:rFonts w:ascii="宋体" w:hAnsi="宋体" w:eastAsia="宋体" w:cs="宋体"/>
          <w:b/>
          <w:bCs/>
          <w:sz w:val="32"/>
          <w:szCs w:val="32"/>
        </w:rPr>
      </w:pPr>
      <w:r>
        <w:rPr>
          <w:rFonts w:hint="eastAsia" w:ascii="宋体" w:hAnsi="宋体" w:eastAsia="宋体" w:cs="宋体"/>
          <w:b/>
          <w:bCs/>
          <w:sz w:val="32"/>
          <w:szCs w:val="32"/>
        </w:rPr>
        <w:t>格式自拟</w:t>
      </w:r>
    </w:p>
    <w:p w14:paraId="06A66D72">
      <w:pPr>
        <w:pStyle w:val="144"/>
        <w:spacing w:line="440" w:lineRule="exact"/>
        <w:jc w:val="center"/>
        <w:rPr>
          <w:rFonts w:ascii="宋体" w:hAnsi="宋体" w:eastAsia="宋体" w:cs="宋体"/>
          <w:b/>
          <w:bCs/>
          <w:sz w:val="32"/>
          <w:szCs w:val="32"/>
        </w:rPr>
      </w:pPr>
    </w:p>
    <w:p w14:paraId="61CF8C26">
      <w:pPr>
        <w:pStyle w:val="144"/>
        <w:spacing w:line="440" w:lineRule="exact"/>
        <w:jc w:val="center"/>
        <w:rPr>
          <w:rFonts w:ascii="宋体" w:hAnsi="宋体" w:eastAsia="宋体" w:cs="宋体"/>
          <w:b/>
          <w:bCs/>
          <w:sz w:val="32"/>
          <w:szCs w:val="32"/>
        </w:rPr>
      </w:pPr>
    </w:p>
    <w:p w14:paraId="0CE2C49D">
      <w:pPr>
        <w:outlineLvl w:val="1"/>
        <w:rPr>
          <w:rFonts w:ascii="宋体" w:hAnsi="宋体" w:cs="宋体"/>
          <w:b/>
          <w:kern w:val="0"/>
          <w:sz w:val="32"/>
        </w:rPr>
      </w:pPr>
      <w:bookmarkStart w:id="128" w:name="_Toc24808"/>
      <w:r>
        <w:rPr>
          <w:rFonts w:hint="eastAsia" w:ascii="宋体" w:hAnsi="宋体" w:cs="宋体"/>
          <w:b/>
          <w:kern w:val="0"/>
          <w:sz w:val="32"/>
        </w:rPr>
        <w:t>十二、谈判所需的其他资料</w:t>
      </w:r>
      <w:bookmarkEnd w:id="107"/>
      <w:bookmarkEnd w:id="128"/>
    </w:p>
    <w:p w14:paraId="729D7361">
      <w:pPr>
        <w:pStyle w:val="128"/>
        <w:rPr>
          <w:rFonts w:ascii="宋体" w:hAnsi="宋体" w:cs="宋体"/>
        </w:rPr>
      </w:pPr>
      <w:r>
        <w:rPr>
          <w:rFonts w:hint="eastAsia" w:ascii="宋体" w:hAnsi="宋体" w:cs="宋体"/>
        </w:rPr>
        <w:t>请在此文档中增加谈判所需其他相关内容（包括资格要求、采购需求中涉及的证件证明及其他供应商认为有必要提供的资料），如没有则填无。</w:t>
      </w:r>
    </w:p>
    <w:p w14:paraId="1D6040DC">
      <w:pPr>
        <w:pStyle w:val="128"/>
        <w:rPr>
          <w:rFonts w:ascii="宋体" w:hAnsi="宋体" w:cs="宋体"/>
        </w:rPr>
      </w:pPr>
    </w:p>
    <w:p w14:paraId="10A4EBB3">
      <w:pPr>
        <w:pStyle w:val="128"/>
        <w:rPr>
          <w:rFonts w:ascii="宋体" w:hAnsi="宋体" w:cs="宋体"/>
        </w:rPr>
      </w:pPr>
    </w:p>
    <w:p w14:paraId="21F2F936">
      <w:pPr>
        <w:pStyle w:val="128"/>
        <w:rPr>
          <w:rFonts w:ascii="宋体" w:hAnsi="宋体" w:cs="宋体"/>
        </w:rPr>
      </w:pPr>
    </w:p>
    <w:p w14:paraId="014F5587">
      <w:pPr>
        <w:pStyle w:val="128"/>
        <w:rPr>
          <w:rFonts w:ascii="宋体" w:hAnsi="宋体" w:cs="宋体"/>
        </w:rPr>
      </w:pPr>
    </w:p>
    <w:p w14:paraId="5B90C567">
      <w:pPr>
        <w:pStyle w:val="128"/>
        <w:rPr>
          <w:rFonts w:ascii="宋体" w:hAnsi="宋体" w:cs="宋体"/>
        </w:rPr>
      </w:pPr>
    </w:p>
    <w:p w14:paraId="5BF1E472">
      <w:pPr>
        <w:pStyle w:val="128"/>
        <w:rPr>
          <w:rFonts w:ascii="宋体" w:hAnsi="宋体" w:cs="宋体"/>
        </w:rPr>
      </w:pPr>
    </w:p>
    <w:p w14:paraId="69D5E186">
      <w:pPr>
        <w:pStyle w:val="128"/>
        <w:rPr>
          <w:rFonts w:ascii="宋体" w:hAnsi="宋体" w:cs="宋体"/>
        </w:rPr>
      </w:pPr>
    </w:p>
    <w:p w14:paraId="4D39B209">
      <w:pPr>
        <w:pStyle w:val="128"/>
        <w:rPr>
          <w:rFonts w:ascii="宋体" w:hAnsi="宋体" w:cs="宋体"/>
        </w:rPr>
      </w:pPr>
    </w:p>
    <w:p w14:paraId="396FF3BD">
      <w:pPr>
        <w:pStyle w:val="128"/>
        <w:rPr>
          <w:rFonts w:ascii="宋体" w:hAnsi="宋体" w:cs="宋体"/>
        </w:rPr>
      </w:pPr>
    </w:p>
    <w:p w14:paraId="16E665CA">
      <w:pPr>
        <w:pStyle w:val="128"/>
        <w:rPr>
          <w:rFonts w:ascii="宋体" w:hAnsi="宋体" w:cs="宋体"/>
        </w:rPr>
      </w:pPr>
    </w:p>
    <w:p w14:paraId="1FDBBED7">
      <w:pPr>
        <w:pStyle w:val="128"/>
        <w:rPr>
          <w:rFonts w:ascii="宋体" w:hAnsi="宋体" w:cs="宋体"/>
        </w:rPr>
      </w:pPr>
    </w:p>
    <w:p w14:paraId="4C350A62">
      <w:pPr>
        <w:pStyle w:val="128"/>
        <w:rPr>
          <w:rFonts w:ascii="宋体" w:hAnsi="宋体" w:cs="宋体"/>
        </w:rPr>
      </w:pPr>
    </w:p>
    <w:p w14:paraId="29DC27FF">
      <w:pPr>
        <w:pStyle w:val="128"/>
        <w:rPr>
          <w:rFonts w:ascii="宋体" w:hAnsi="宋体" w:cs="宋体"/>
        </w:rPr>
      </w:pPr>
    </w:p>
    <w:p w14:paraId="7DF725AB">
      <w:pPr>
        <w:pStyle w:val="128"/>
        <w:rPr>
          <w:rFonts w:ascii="宋体" w:hAnsi="宋体" w:cs="宋体"/>
        </w:rPr>
      </w:pPr>
    </w:p>
    <w:p w14:paraId="0D6D0EA1">
      <w:pPr>
        <w:pStyle w:val="128"/>
        <w:rPr>
          <w:rFonts w:ascii="宋体" w:hAnsi="宋体" w:cs="宋体"/>
        </w:rPr>
      </w:pPr>
    </w:p>
    <w:bookmarkEnd w:id="82"/>
    <w:sectPr>
      <w:footerReference r:id="rId5" w:type="default"/>
      <w:pgSz w:w="11906" w:h="16838"/>
      <w:pgMar w:top="1383" w:right="1417" w:bottom="1383"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幼圆">
    <w:altName w:val="宋体"/>
    <w:panose1 w:val="0201050906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黑体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9C83E">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0F330">
    <w:pPr>
      <w:pStyle w:val="33"/>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E2221E">
                          <w:pPr>
                            <w:pStyle w:val="3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4E2221E">
                    <w:pPr>
                      <w:pStyle w:val="3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8C103">
    <w:pPr>
      <w:pStyle w:val="34"/>
      <w:pBdr>
        <w:bottom w:val="none" w:color="auto" w:sz="0" w:space="0"/>
      </w:pBdr>
    </w:pPr>
  </w:p>
  <w:p w14:paraId="44C1886D">
    <w:pPr>
      <w:pStyle w:val="34"/>
      <w:pBdr>
        <w:bottom w:val="none" w:color="auto" w:sz="0" w:space="0"/>
      </w:pBdr>
      <w:jc w:val="left"/>
    </w:pPr>
    <w:r>
      <w:rPr>
        <w:rFonts w:hint="eastAsia"/>
        <w:sz w:val="24"/>
        <w:szCs w:val="36"/>
        <w:u w:val="single"/>
      </w:rPr>
      <w:t>江苏方园项目招标管理有限公司                       公开      公平      公正</w:t>
    </w:r>
    <w:r>
      <w:rPr>
        <w:rFonts w:hint="eastAsia"/>
        <w:sz w:val="24"/>
        <w:szCs w:val="3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28B59"/>
    <w:multiLevelType w:val="singleLevel"/>
    <w:tmpl w:val="CCD28B59"/>
    <w:lvl w:ilvl="0" w:tentative="0">
      <w:start w:val="2"/>
      <w:numFmt w:val="chineseCounting"/>
      <w:suff w:val="nothing"/>
      <w:lvlText w:val="%1、"/>
      <w:lvlJc w:val="left"/>
      <w:rPr>
        <w:rFonts w:hint="eastAsia"/>
      </w:rPr>
    </w:lvl>
  </w:abstractNum>
  <w:abstractNum w:abstractNumId="1">
    <w:nsid w:val="CFA92AF2"/>
    <w:multiLevelType w:val="singleLevel"/>
    <w:tmpl w:val="CFA92AF2"/>
    <w:lvl w:ilvl="0" w:tentative="0">
      <w:start w:val="1"/>
      <w:numFmt w:val="chineseCounting"/>
      <w:suff w:val="nothing"/>
      <w:lvlText w:val="%1、"/>
      <w:lvlJc w:val="left"/>
      <w:pPr>
        <w:tabs>
          <w:tab w:val="left" w:pos="0"/>
        </w:tabs>
        <w:ind w:left="0" w:firstLine="0"/>
      </w:pPr>
      <w:rPr>
        <w:rFonts w:hint="eastAsia"/>
      </w:rPr>
    </w:lvl>
  </w:abstractNum>
  <w:abstractNum w:abstractNumId="2">
    <w:nsid w:val="039B7AD5"/>
    <w:multiLevelType w:val="singleLevel"/>
    <w:tmpl w:val="039B7AD5"/>
    <w:lvl w:ilvl="0" w:tentative="0">
      <w:start w:val="1"/>
      <w:numFmt w:val="decimal"/>
      <w:suff w:val="nothing"/>
      <w:lvlText w:val="（%1）"/>
      <w:lvlJc w:val="left"/>
    </w:lvl>
  </w:abstractNum>
  <w:abstractNum w:abstractNumId="3">
    <w:nsid w:val="06784D56"/>
    <w:multiLevelType w:val="singleLevel"/>
    <w:tmpl w:val="06784D56"/>
    <w:lvl w:ilvl="0" w:tentative="0">
      <w:start w:val="1"/>
      <w:numFmt w:val="upperLetter"/>
      <w:pStyle w:val="200"/>
      <w:lvlText w:val="附录%1."/>
      <w:lvlJc w:val="left"/>
      <w:pPr>
        <w:tabs>
          <w:tab w:val="left" w:pos="907"/>
        </w:tabs>
        <w:ind w:left="907" w:hanging="907"/>
      </w:pPr>
      <w:rPr>
        <w:rFonts w:hint="eastAsia"/>
      </w:rPr>
    </w:lvl>
  </w:abstractNum>
  <w:abstractNum w:abstractNumId="4">
    <w:nsid w:val="277A508D"/>
    <w:multiLevelType w:val="singleLevel"/>
    <w:tmpl w:val="277A508D"/>
    <w:lvl w:ilvl="0" w:tentative="0">
      <w:start w:val="1"/>
      <w:numFmt w:val="decimal"/>
      <w:suff w:val="nothing"/>
      <w:lvlText w:val="%1、"/>
      <w:lvlJc w:val="left"/>
    </w:lvl>
  </w:abstractNum>
  <w:abstractNum w:abstractNumId="5">
    <w:nsid w:val="2F1F52A9"/>
    <w:multiLevelType w:val="singleLevel"/>
    <w:tmpl w:val="2F1F52A9"/>
    <w:lvl w:ilvl="0" w:tentative="0">
      <w:start w:val="2"/>
      <w:numFmt w:val="chineseCounting"/>
      <w:suff w:val="nothing"/>
      <w:lvlText w:val="（%1）"/>
      <w:lvlJc w:val="left"/>
      <w:rPr>
        <w:rFonts w:hint="eastAsia"/>
      </w:rPr>
    </w:lvl>
  </w:abstractNum>
  <w:abstractNum w:abstractNumId="6">
    <w:nsid w:val="420C153B"/>
    <w:multiLevelType w:val="multilevel"/>
    <w:tmpl w:val="420C153B"/>
    <w:lvl w:ilvl="0" w:tentative="0">
      <w:start w:val="1"/>
      <w:numFmt w:val="decimal"/>
      <w:pStyle w:val="20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5962310B"/>
    <w:multiLevelType w:val="singleLevel"/>
    <w:tmpl w:val="5962310B"/>
    <w:lvl w:ilvl="0" w:tentative="0">
      <w:start w:val="1"/>
      <w:numFmt w:val="decimal"/>
      <w:suff w:val="nothing"/>
      <w:lvlText w:val="%1、"/>
      <w:lvlJc w:val="left"/>
    </w:lvl>
  </w:abstractNum>
  <w:abstractNum w:abstractNumId="8">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9">
    <w:nsid w:val="7EAF525C"/>
    <w:multiLevelType w:val="singleLevel"/>
    <w:tmpl w:val="7EAF525C"/>
    <w:lvl w:ilvl="0" w:tentative="0">
      <w:start w:val="1"/>
      <w:numFmt w:val="chineseCounting"/>
      <w:suff w:val="space"/>
      <w:lvlText w:val="（%1）"/>
      <w:lvlJc w:val="left"/>
      <w:rPr>
        <w:rFonts w:hint="eastAsia"/>
      </w:rPr>
    </w:lvl>
  </w:abstractNum>
  <w:num w:numId="1">
    <w:abstractNumId w:val="8"/>
  </w:num>
  <w:num w:numId="2">
    <w:abstractNumId w:val="3"/>
  </w:num>
  <w:num w:numId="3">
    <w:abstractNumId w:val="6"/>
  </w:num>
  <w:num w:numId="4">
    <w:abstractNumId w:val="7"/>
  </w:num>
  <w:num w:numId="5">
    <w:abstractNumId w:val="4"/>
  </w:num>
  <w:num w:numId="6">
    <w:abstractNumId w:val="0"/>
  </w:num>
  <w:num w:numId="7">
    <w:abstractNumId w:val="9"/>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yYWI5ZjFiZDVhYmIyM2NhNTc2YzljMjc4MjI1MDcifQ=="/>
    <w:docVar w:name="KSO_WPS_MARK_KEY" w:val="95456bed-4ccc-4622-b9e8-d4e27ea0f330"/>
  </w:docVars>
  <w:rsids>
    <w:rsidRoot w:val="617E73F4"/>
    <w:rsid w:val="00016AF1"/>
    <w:rsid w:val="000220CD"/>
    <w:rsid w:val="00024CA3"/>
    <w:rsid w:val="00030B25"/>
    <w:rsid w:val="00032B5A"/>
    <w:rsid w:val="00052218"/>
    <w:rsid w:val="00054EFA"/>
    <w:rsid w:val="00064215"/>
    <w:rsid w:val="000837FE"/>
    <w:rsid w:val="0009321E"/>
    <w:rsid w:val="00095C12"/>
    <w:rsid w:val="000A1C01"/>
    <w:rsid w:val="000A1D1F"/>
    <w:rsid w:val="000A4B4D"/>
    <w:rsid w:val="000B5ECE"/>
    <w:rsid w:val="000C3D69"/>
    <w:rsid w:val="000E0BA4"/>
    <w:rsid w:val="000F0748"/>
    <w:rsid w:val="000F60D8"/>
    <w:rsid w:val="00126FFB"/>
    <w:rsid w:val="001325B0"/>
    <w:rsid w:val="0014201B"/>
    <w:rsid w:val="0015138F"/>
    <w:rsid w:val="00154422"/>
    <w:rsid w:val="001548E0"/>
    <w:rsid w:val="001768F7"/>
    <w:rsid w:val="0018607A"/>
    <w:rsid w:val="001867CA"/>
    <w:rsid w:val="00195F1F"/>
    <w:rsid w:val="001B1FEF"/>
    <w:rsid w:val="001B2021"/>
    <w:rsid w:val="001C07FC"/>
    <w:rsid w:val="001C1942"/>
    <w:rsid w:val="001C2E48"/>
    <w:rsid w:val="001C7718"/>
    <w:rsid w:val="001D393B"/>
    <w:rsid w:val="001D5E00"/>
    <w:rsid w:val="001E09FC"/>
    <w:rsid w:val="001E737C"/>
    <w:rsid w:val="001E7C69"/>
    <w:rsid w:val="001F220E"/>
    <w:rsid w:val="0021266B"/>
    <w:rsid w:val="002151CA"/>
    <w:rsid w:val="002157FF"/>
    <w:rsid w:val="00224F9A"/>
    <w:rsid w:val="002305E5"/>
    <w:rsid w:val="00234512"/>
    <w:rsid w:val="0024631D"/>
    <w:rsid w:val="002478CD"/>
    <w:rsid w:val="002515FF"/>
    <w:rsid w:val="00266D2E"/>
    <w:rsid w:val="00275235"/>
    <w:rsid w:val="00285FD3"/>
    <w:rsid w:val="002A458B"/>
    <w:rsid w:val="002A5B0D"/>
    <w:rsid w:val="002B0CC8"/>
    <w:rsid w:val="002B0DC4"/>
    <w:rsid w:val="002B35EA"/>
    <w:rsid w:val="002D36E9"/>
    <w:rsid w:val="00307BC1"/>
    <w:rsid w:val="00314EB2"/>
    <w:rsid w:val="0032404B"/>
    <w:rsid w:val="003247D5"/>
    <w:rsid w:val="00334862"/>
    <w:rsid w:val="0033593E"/>
    <w:rsid w:val="00343254"/>
    <w:rsid w:val="00372E6E"/>
    <w:rsid w:val="003B2836"/>
    <w:rsid w:val="003B31C8"/>
    <w:rsid w:val="003C5C92"/>
    <w:rsid w:val="003F45E0"/>
    <w:rsid w:val="00405523"/>
    <w:rsid w:val="00405717"/>
    <w:rsid w:val="00412052"/>
    <w:rsid w:val="004132D4"/>
    <w:rsid w:val="00421900"/>
    <w:rsid w:val="00427BD5"/>
    <w:rsid w:val="00431DA4"/>
    <w:rsid w:val="00433F83"/>
    <w:rsid w:val="0044189A"/>
    <w:rsid w:val="00443B2D"/>
    <w:rsid w:val="004561B5"/>
    <w:rsid w:val="004618F8"/>
    <w:rsid w:val="00466BB8"/>
    <w:rsid w:val="004A2E03"/>
    <w:rsid w:val="004A5259"/>
    <w:rsid w:val="004A7CAC"/>
    <w:rsid w:val="004B729E"/>
    <w:rsid w:val="004C3AFA"/>
    <w:rsid w:val="004D120B"/>
    <w:rsid w:val="004D309F"/>
    <w:rsid w:val="004E2F8F"/>
    <w:rsid w:val="004F017A"/>
    <w:rsid w:val="004F0F92"/>
    <w:rsid w:val="0052395D"/>
    <w:rsid w:val="005252C8"/>
    <w:rsid w:val="0052617F"/>
    <w:rsid w:val="00537D55"/>
    <w:rsid w:val="00537D5A"/>
    <w:rsid w:val="005418A6"/>
    <w:rsid w:val="00542EFC"/>
    <w:rsid w:val="00554F59"/>
    <w:rsid w:val="00567CEC"/>
    <w:rsid w:val="0058079D"/>
    <w:rsid w:val="00591A05"/>
    <w:rsid w:val="005931D7"/>
    <w:rsid w:val="005962F9"/>
    <w:rsid w:val="005C4D96"/>
    <w:rsid w:val="005C7773"/>
    <w:rsid w:val="005C7EEF"/>
    <w:rsid w:val="005D1A6A"/>
    <w:rsid w:val="005D5EF2"/>
    <w:rsid w:val="005E5726"/>
    <w:rsid w:val="005E6001"/>
    <w:rsid w:val="005F1888"/>
    <w:rsid w:val="00600EF1"/>
    <w:rsid w:val="006011CE"/>
    <w:rsid w:val="00606AB4"/>
    <w:rsid w:val="00614F4D"/>
    <w:rsid w:val="00616E4C"/>
    <w:rsid w:val="00620A40"/>
    <w:rsid w:val="0063206F"/>
    <w:rsid w:val="006435DB"/>
    <w:rsid w:val="0066654F"/>
    <w:rsid w:val="006703F3"/>
    <w:rsid w:val="0069602E"/>
    <w:rsid w:val="006967AC"/>
    <w:rsid w:val="00696F65"/>
    <w:rsid w:val="006A353F"/>
    <w:rsid w:val="006B5B01"/>
    <w:rsid w:val="006B7815"/>
    <w:rsid w:val="006D447B"/>
    <w:rsid w:val="006D7D6E"/>
    <w:rsid w:val="006E6CF0"/>
    <w:rsid w:val="0071200F"/>
    <w:rsid w:val="00715E7A"/>
    <w:rsid w:val="00732130"/>
    <w:rsid w:val="00734C7C"/>
    <w:rsid w:val="00735246"/>
    <w:rsid w:val="00762279"/>
    <w:rsid w:val="007650EB"/>
    <w:rsid w:val="007853C7"/>
    <w:rsid w:val="007A2176"/>
    <w:rsid w:val="007A6F95"/>
    <w:rsid w:val="007B4F0C"/>
    <w:rsid w:val="007C35F9"/>
    <w:rsid w:val="007D76AF"/>
    <w:rsid w:val="007E1E8E"/>
    <w:rsid w:val="007F66CB"/>
    <w:rsid w:val="00800B43"/>
    <w:rsid w:val="00801596"/>
    <w:rsid w:val="008033C9"/>
    <w:rsid w:val="00804C93"/>
    <w:rsid w:val="0081414A"/>
    <w:rsid w:val="0081793E"/>
    <w:rsid w:val="00823541"/>
    <w:rsid w:val="0084272B"/>
    <w:rsid w:val="00886E54"/>
    <w:rsid w:val="008B1984"/>
    <w:rsid w:val="008B684F"/>
    <w:rsid w:val="008C5A09"/>
    <w:rsid w:val="008D010C"/>
    <w:rsid w:val="008D4397"/>
    <w:rsid w:val="008E2F99"/>
    <w:rsid w:val="008F2646"/>
    <w:rsid w:val="0090452D"/>
    <w:rsid w:val="009055F3"/>
    <w:rsid w:val="009142C9"/>
    <w:rsid w:val="009149AB"/>
    <w:rsid w:val="009151DF"/>
    <w:rsid w:val="00915575"/>
    <w:rsid w:val="00915A6D"/>
    <w:rsid w:val="00915AC0"/>
    <w:rsid w:val="00916ED5"/>
    <w:rsid w:val="0092139C"/>
    <w:rsid w:val="009336FF"/>
    <w:rsid w:val="00934CA0"/>
    <w:rsid w:val="00934D72"/>
    <w:rsid w:val="00943E50"/>
    <w:rsid w:val="009508D7"/>
    <w:rsid w:val="0096701C"/>
    <w:rsid w:val="00983C73"/>
    <w:rsid w:val="00990D7B"/>
    <w:rsid w:val="009B1CCF"/>
    <w:rsid w:val="009B41E6"/>
    <w:rsid w:val="009C1DC7"/>
    <w:rsid w:val="009D1288"/>
    <w:rsid w:val="009D69B8"/>
    <w:rsid w:val="00A04954"/>
    <w:rsid w:val="00A07C74"/>
    <w:rsid w:val="00A10AF5"/>
    <w:rsid w:val="00A12152"/>
    <w:rsid w:val="00A20023"/>
    <w:rsid w:val="00A22E95"/>
    <w:rsid w:val="00A27D1C"/>
    <w:rsid w:val="00A40483"/>
    <w:rsid w:val="00A4627E"/>
    <w:rsid w:val="00A74690"/>
    <w:rsid w:val="00A966A5"/>
    <w:rsid w:val="00AA0631"/>
    <w:rsid w:val="00AA24E5"/>
    <w:rsid w:val="00AB2675"/>
    <w:rsid w:val="00AD4718"/>
    <w:rsid w:val="00AF370F"/>
    <w:rsid w:val="00AF5474"/>
    <w:rsid w:val="00B1755E"/>
    <w:rsid w:val="00B17F8F"/>
    <w:rsid w:val="00B22D0C"/>
    <w:rsid w:val="00B239AB"/>
    <w:rsid w:val="00B46804"/>
    <w:rsid w:val="00B554FA"/>
    <w:rsid w:val="00B86CD3"/>
    <w:rsid w:val="00B93041"/>
    <w:rsid w:val="00B94A1F"/>
    <w:rsid w:val="00BA35E3"/>
    <w:rsid w:val="00BA5453"/>
    <w:rsid w:val="00BB3DE7"/>
    <w:rsid w:val="00BB4E80"/>
    <w:rsid w:val="00BC3FAD"/>
    <w:rsid w:val="00BC4E43"/>
    <w:rsid w:val="00BE58FC"/>
    <w:rsid w:val="00BF0A0C"/>
    <w:rsid w:val="00C00A7E"/>
    <w:rsid w:val="00C02B9F"/>
    <w:rsid w:val="00C1198F"/>
    <w:rsid w:val="00C21F40"/>
    <w:rsid w:val="00C24A83"/>
    <w:rsid w:val="00C304E3"/>
    <w:rsid w:val="00C409B2"/>
    <w:rsid w:val="00C45FA8"/>
    <w:rsid w:val="00C50598"/>
    <w:rsid w:val="00C5153E"/>
    <w:rsid w:val="00C554C5"/>
    <w:rsid w:val="00C710E8"/>
    <w:rsid w:val="00C80C00"/>
    <w:rsid w:val="00CA71BF"/>
    <w:rsid w:val="00CC7334"/>
    <w:rsid w:val="00CD2C6F"/>
    <w:rsid w:val="00CD50CE"/>
    <w:rsid w:val="00CE402B"/>
    <w:rsid w:val="00CE59B5"/>
    <w:rsid w:val="00CE5D1F"/>
    <w:rsid w:val="00CF274D"/>
    <w:rsid w:val="00D02C18"/>
    <w:rsid w:val="00D0616B"/>
    <w:rsid w:val="00D109A5"/>
    <w:rsid w:val="00D23CBA"/>
    <w:rsid w:val="00D33ECA"/>
    <w:rsid w:val="00D36CB1"/>
    <w:rsid w:val="00D443AF"/>
    <w:rsid w:val="00D443EB"/>
    <w:rsid w:val="00D46409"/>
    <w:rsid w:val="00D56583"/>
    <w:rsid w:val="00D64260"/>
    <w:rsid w:val="00D8764A"/>
    <w:rsid w:val="00DA4263"/>
    <w:rsid w:val="00DB0DFF"/>
    <w:rsid w:val="00DC3DBD"/>
    <w:rsid w:val="00DD094C"/>
    <w:rsid w:val="00DD78C4"/>
    <w:rsid w:val="00E12007"/>
    <w:rsid w:val="00E344EC"/>
    <w:rsid w:val="00E365B0"/>
    <w:rsid w:val="00E4446A"/>
    <w:rsid w:val="00E52845"/>
    <w:rsid w:val="00E65CF2"/>
    <w:rsid w:val="00E66299"/>
    <w:rsid w:val="00E75C6D"/>
    <w:rsid w:val="00E94594"/>
    <w:rsid w:val="00EA0968"/>
    <w:rsid w:val="00EA5547"/>
    <w:rsid w:val="00EC0D84"/>
    <w:rsid w:val="00EC2C00"/>
    <w:rsid w:val="00ED1A2D"/>
    <w:rsid w:val="00EF17C9"/>
    <w:rsid w:val="00EF5979"/>
    <w:rsid w:val="00F11532"/>
    <w:rsid w:val="00F21920"/>
    <w:rsid w:val="00F63A85"/>
    <w:rsid w:val="00F80202"/>
    <w:rsid w:val="00F813AF"/>
    <w:rsid w:val="00F82650"/>
    <w:rsid w:val="00F964CF"/>
    <w:rsid w:val="00FA7EE1"/>
    <w:rsid w:val="00FE443A"/>
    <w:rsid w:val="00FE6167"/>
    <w:rsid w:val="016D4D19"/>
    <w:rsid w:val="020F7044"/>
    <w:rsid w:val="023B0973"/>
    <w:rsid w:val="02725BDC"/>
    <w:rsid w:val="0355001C"/>
    <w:rsid w:val="03CC41E0"/>
    <w:rsid w:val="04117CD9"/>
    <w:rsid w:val="047F2D99"/>
    <w:rsid w:val="04F84EE9"/>
    <w:rsid w:val="04F924FB"/>
    <w:rsid w:val="051931EE"/>
    <w:rsid w:val="05F24FCD"/>
    <w:rsid w:val="060D3B76"/>
    <w:rsid w:val="065968BC"/>
    <w:rsid w:val="06D9064B"/>
    <w:rsid w:val="070A0EA9"/>
    <w:rsid w:val="073B0FD5"/>
    <w:rsid w:val="0798424D"/>
    <w:rsid w:val="086C3FB5"/>
    <w:rsid w:val="08CE6FBA"/>
    <w:rsid w:val="09CD45A7"/>
    <w:rsid w:val="09E0252C"/>
    <w:rsid w:val="0A2C3A20"/>
    <w:rsid w:val="0A2E4877"/>
    <w:rsid w:val="0A4E5062"/>
    <w:rsid w:val="0B2846B3"/>
    <w:rsid w:val="0B40751D"/>
    <w:rsid w:val="0C4265FF"/>
    <w:rsid w:val="0CAC70FF"/>
    <w:rsid w:val="0CDA4410"/>
    <w:rsid w:val="0CF9258B"/>
    <w:rsid w:val="0D020A0B"/>
    <w:rsid w:val="0D344409"/>
    <w:rsid w:val="0EA7186A"/>
    <w:rsid w:val="0EA94525"/>
    <w:rsid w:val="0F674972"/>
    <w:rsid w:val="0F6B6D3C"/>
    <w:rsid w:val="10614758"/>
    <w:rsid w:val="10807CC1"/>
    <w:rsid w:val="10B71B0D"/>
    <w:rsid w:val="10EF574B"/>
    <w:rsid w:val="11716160"/>
    <w:rsid w:val="11DA1F57"/>
    <w:rsid w:val="124F64A1"/>
    <w:rsid w:val="12524680"/>
    <w:rsid w:val="132C0993"/>
    <w:rsid w:val="134C29E0"/>
    <w:rsid w:val="13CC58CF"/>
    <w:rsid w:val="144D69B4"/>
    <w:rsid w:val="149E0F66"/>
    <w:rsid w:val="15035321"/>
    <w:rsid w:val="155344FA"/>
    <w:rsid w:val="15A81101"/>
    <w:rsid w:val="16297009"/>
    <w:rsid w:val="16CF1CDA"/>
    <w:rsid w:val="17493DF5"/>
    <w:rsid w:val="17896F88"/>
    <w:rsid w:val="186B56B7"/>
    <w:rsid w:val="1A25688A"/>
    <w:rsid w:val="1AA34361"/>
    <w:rsid w:val="1B7725C5"/>
    <w:rsid w:val="1BB165B5"/>
    <w:rsid w:val="1BD45D58"/>
    <w:rsid w:val="1D007295"/>
    <w:rsid w:val="1D2F49EF"/>
    <w:rsid w:val="1D8D60CF"/>
    <w:rsid w:val="1DFC5003"/>
    <w:rsid w:val="1EA34F00"/>
    <w:rsid w:val="1F185E6D"/>
    <w:rsid w:val="1FA84536"/>
    <w:rsid w:val="21D53FAD"/>
    <w:rsid w:val="21FE2C6B"/>
    <w:rsid w:val="220D43E5"/>
    <w:rsid w:val="22E913E6"/>
    <w:rsid w:val="234C3193"/>
    <w:rsid w:val="23A93989"/>
    <w:rsid w:val="23B6226E"/>
    <w:rsid w:val="23C7161A"/>
    <w:rsid w:val="23EA493A"/>
    <w:rsid w:val="240A160A"/>
    <w:rsid w:val="240C3CC8"/>
    <w:rsid w:val="24F262A5"/>
    <w:rsid w:val="251D41DD"/>
    <w:rsid w:val="2597357C"/>
    <w:rsid w:val="25E91904"/>
    <w:rsid w:val="25E92311"/>
    <w:rsid w:val="25F72C80"/>
    <w:rsid w:val="261B7827"/>
    <w:rsid w:val="26C36BDE"/>
    <w:rsid w:val="27081AFF"/>
    <w:rsid w:val="27670EA5"/>
    <w:rsid w:val="27B639BC"/>
    <w:rsid w:val="28223DED"/>
    <w:rsid w:val="28333D17"/>
    <w:rsid w:val="28D8573B"/>
    <w:rsid w:val="28F568D6"/>
    <w:rsid w:val="29060A96"/>
    <w:rsid w:val="29DB72C7"/>
    <w:rsid w:val="2A1B5B3E"/>
    <w:rsid w:val="2B7F2778"/>
    <w:rsid w:val="2C78619D"/>
    <w:rsid w:val="2CEB2E12"/>
    <w:rsid w:val="2F323911"/>
    <w:rsid w:val="2FE43EA3"/>
    <w:rsid w:val="30274AE0"/>
    <w:rsid w:val="30387514"/>
    <w:rsid w:val="304C1E1A"/>
    <w:rsid w:val="304E2210"/>
    <w:rsid w:val="314837F4"/>
    <w:rsid w:val="315C308A"/>
    <w:rsid w:val="31804566"/>
    <w:rsid w:val="322841C1"/>
    <w:rsid w:val="327D37CC"/>
    <w:rsid w:val="333053FC"/>
    <w:rsid w:val="335B7DFE"/>
    <w:rsid w:val="35086B8F"/>
    <w:rsid w:val="35BD7318"/>
    <w:rsid w:val="35C30488"/>
    <w:rsid w:val="364E79D2"/>
    <w:rsid w:val="368376BD"/>
    <w:rsid w:val="37575C49"/>
    <w:rsid w:val="37856E75"/>
    <w:rsid w:val="37926995"/>
    <w:rsid w:val="37A934A2"/>
    <w:rsid w:val="37BA4137"/>
    <w:rsid w:val="37F4701F"/>
    <w:rsid w:val="38767A34"/>
    <w:rsid w:val="38E70932"/>
    <w:rsid w:val="39B16F31"/>
    <w:rsid w:val="39E36352"/>
    <w:rsid w:val="3A096E65"/>
    <w:rsid w:val="3A8D4629"/>
    <w:rsid w:val="3BAA5004"/>
    <w:rsid w:val="3BEB7389"/>
    <w:rsid w:val="3C760114"/>
    <w:rsid w:val="3C8C1F1C"/>
    <w:rsid w:val="3CAA1666"/>
    <w:rsid w:val="3CAF3CF5"/>
    <w:rsid w:val="3CE82954"/>
    <w:rsid w:val="3D1F5F97"/>
    <w:rsid w:val="3E1B3293"/>
    <w:rsid w:val="3EA15F3B"/>
    <w:rsid w:val="40642194"/>
    <w:rsid w:val="414D7152"/>
    <w:rsid w:val="419B40CB"/>
    <w:rsid w:val="41D028CD"/>
    <w:rsid w:val="41D33D98"/>
    <w:rsid w:val="41DA218D"/>
    <w:rsid w:val="41E12E72"/>
    <w:rsid w:val="427A52FE"/>
    <w:rsid w:val="42843695"/>
    <w:rsid w:val="42B06D2A"/>
    <w:rsid w:val="42B61ADF"/>
    <w:rsid w:val="42FE0328"/>
    <w:rsid w:val="43041AF9"/>
    <w:rsid w:val="43BD2C33"/>
    <w:rsid w:val="45561319"/>
    <w:rsid w:val="45E701C3"/>
    <w:rsid w:val="46A2058E"/>
    <w:rsid w:val="47665118"/>
    <w:rsid w:val="48847C8D"/>
    <w:rsid w:val="4A8211A5"/>
    <w:rsid w:val="4A8C35D3"/>
    <w:rsid w:val="4A980B96"/>
    <w:rsid w:val="4ACF67B2"/>
    <w:rsid w:val="4BA856F8"/>
    <w:rsid w:val="4BC22E6B"/>
    <w:rsid w:val="4C0B2731"/>
    <w:rsid w:val="4C3B1CB7"/>
    <w:rsid w:val="4C3B3017"/>
    <w:rsid w:val="4C78191A"/>
    <w:rsid w:val="4CE74CD2"/>
    <w:rsid w:val="4D657FA9"/>
    <w:rsid w:val="4D810EFD"/>
    <w:rsid w:val="4DAE5FD2"/>
    <w:rsid w:val="4EBC7D13"/>
    <w:rsid w:val="502D13D3"/>
    <w:rsid w:val="502E65CB"/>
    <w:rsid w:val="50637B51"/>
    <w:rsid w:val="508D658E"/>
    <w:rsid w:val="511F79BD"/>
    <w:rsid w:val="51F36142"/>
    <w:rsid w:val="521A084A"/>
    <w:rsid w:val="52237953"/>
    <w:rsid w:val="53054264"/>
    <w:rsid w:val="53107074"/>
    <w:rsid w:val="53FA1EA3"/>
    <w:rsid w:val="5409754D"/>
    <w:rsid w:val="548656D1"/>
    <w:rsid w:val="548F5A95"/>
    <w:rsid w:val="550667B5"/>
    <w:rsid w:val="55160FB8"/>
    <w:rsid w:val="551F07C0"/>
    <w:rsid w:val="558378AE"/>
    <w:rsid w:val="55E90F00"/>
    <w:rsid w:val="56367491"/>
    <w:rsid w:val="564123CD"/>
    <w:rsid w:val="56525905"/>
    <w:rsid w:val="56E9036B"/>
    <w:rsid w:val="56FF1153"/>
    <w:rsid w:val="575900A2"/>
    <w:rsid w:val="58956C7E"/>
    <w:rsid w:val="58D7370D"/>
    <w:rsid w:val="5A7F2674"/>
    <w:rsid w:val="5BA74225"/>
    <w:rsid w:val="5BCA0690"/>
    <w:rsid w:val="5C420E63"/>
    <w:rsid w:val="5C844566"/>
    <w:rsid w:val="5C8E74B4"/>
    <w:rsid w:val="5C9918CB"/>
    <w:rsid w:val="5CF773EA"/>
    <w:rsid w:val="5D6B3030"/>
    <w:rsid w:val="5DEA21A7"/>
    <w:rsid w:val="5E2F764B"/>
    <w:rsid w:val="5E6A6AA9"/>
    <w:rsid w:val="5E6D02F7"/>
    <w:rsid w:val="5E6F2114"/>
    <w:rsid w:val="5EDC052A"/>
    <w:rsid w:val="5F0916E3"/>
    <w:rsid w:val="5F1D1C2D"/>
    <w:rsid w:val="60EC3380"/>
    <w:rsid w:val="61303172"/>
    <w:rsid w:val="617E73F4"/>
    <w:rsid w:val="6258346D"/>
    <w:rsid w:val="62C05BCC"/>
    <w:rsid w:val="62DE42A4"/>
    <w:rsid w:val="64104C3F"/>
    <w:rsid w:val="648B2952"/>
    <w:rsid w:val="64F15B56"/>
    <w:rsid w:val="65527EA6"/>
    <w:rsid w:val="657335C8"/>
    <w:rsid w:val="67450508"/>
    <w:rsid w:val="675F6EF1"/>
    <w:rsid w:val="679A4C3E"/>
    <w:rsid w:val="68E1689C"/>
    <w:rsid w:val="698414B6"/>
    <w:rsid w:val="698D4227"/>
    <w:rsid w:val="69A55EC4"/>
    <w:rsid w:val="69AF24F6"/>
    <w:rsid w:val="69B733CB"/>
    <w:rsid w:val="69DF7B86"/>
    <w:rsid w:val="6A3F02BB"/>
    <w:rsid w:val="6A7A2B04"/>
    <w:rsid w:val="6A906F5C"/>
    <w:rsid w:val="6AB47433"/>
    <w:rsid w:val="6AC02DF4"/>
    <w:rsid w:val="6B890E56"/>
    <w:rsid w:val="6B9E6661"/>
    <w:rsid w:val="6CC327E1"/>
    <w:rsid w:val="6CC66849"/>
    <w:rsid w:val="6E184B0E"/>
    <w:rsid w:val="6E74786C"/>
    <w:rsid w:val="6F101C89"/>
    <w:rsid w:val="6F5E29F5"/>
    <w:rsid w:val="6F657EF6"/>
    <w:rsid w:val="70263260"/>
    <w:rsid w:val="7063759E"/>
    <w:rsid w:val="70F67040"/>
    <w:rsid w:val="71161403"/>
    <w:rsid w:val="711E0CC7"/>
    <w:rsid w:val="714F7E52"/>
    <w:rsid w:val="717A6C56"/>
    <w:rsid w:val="71BD5381"/>
    <w:rsid w:val="730613D9"/>
    <w:rsid w:val="73C46934"/>
    <w:rsid w:val="7416200C"/>
    <w:rsid w:val="751340FD"/>
    <w:rsid w:val="758F6168"/>
    <w:rsid w:val="75D91027"/>
    <w:rsid w:val="75DF43C4"/>
    <w:rsid w:val="75EB694F"/>
    <w:rsid w:val="760B4191"/>
    <w:rsid w:val="76947799"/>
    <w:rsid w:val="773E67EB"/>
    <w:rsid w:val="776E39F1"/>
    <w:rsid w:val="777A4144"/>
    <w:rsid w:val="78352449"/>
    <w:rsid w:val="783D1669"/>
    <w:rsid w:val="79520FC4"/>
    <w:rsid w:val="79BE0E14"/>
    <w:rsid w:val="7A8C41B7"/>
    <w:rsid w:val="7B327E8F"/>
    <w:rsid w:val="7B670663"/>
    <w:rsid w:val="7BCD0E42"/>
    <w:rsid w:val="7BE76496"/>
    <w:rsid w:val="7C374CF9"/>
    <w:rsid w:val="7C3A030D"/>
    <w:rsid w:val="7C477500"/>
    <w:rsid w:val="7C6F4493"/>
    <w:rsid w:val="7CD9190C"/>
    <w:rsid w:val="7CF5583A"/>
    <w:rsid w:val="7D776A32"/>
    <w:rsid w:val="7DAD5C5A"/>
    <w:rsid w:val="7E3808B5"/>
    <w:rsid w:val="7EF752C0"/>
    <w:rsid w:val="7F0E7375"/>
    <w:rsid w:val="7F0F0F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9"/>
    <w:qFormat/>
    <w:uiPriority w:val="0"/>
    <w:pPr>
      <w:keepNext/>
      <w:keepLines/>
      <w:spacing w:line="576" w:lineRule="auto"/>
      <w:outlineLvl w:val="0"/>
    </w:pPr>
    <w:rPr>
      <w:b/>
      <w:kern w:val="44"/>
      <w:sz w:val="44"/>
    </w:rPr>
  </w:style>
  <w:style w:type="paragraph" w:styleId="3">
    <w:name w:val="heading 2"/>
    <w:basedOn w:val="1"/>
    <w:next w:val="1"/>
    <w:link w:val="165"/>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4">
    <w:name w:val="heading 3"/>
    <w:basedOn w:val="1"/>
    <w:next w:val="5"/>
    <w:link w:val="166"/>
    <w:qFormat/>
    <w:uiPriority w:val="0"/>
    <w:pPr>
      <w:keepNext/>
      <w:keepLines/>
      <w:spacing w:before="260" w:after="260" w:line="416" w:lineRule="auto"/>
      <w:outlineLvl w:val="2"/>
    </w:pPr>
    <w:rPr>
      <w:b/>
      <w:bCs/>
      <w:sz w:val="32"/>
      <w:szCs w:val="32"/>
    </w:rPr>
  </w:style>
  <w:style w:type="paragraph" w:styleId="6">
    <w:name w:val="heading 4"/>
    <w:basedOn w:val="1"/>
    <w:next w:val="5"/>
    <w:link w:val="167"/>
    <w:qFormat/>
    <w:uiPriority w:val="0"/>
    <w:pPr>
      <w:keepNext/>
      <w:keepLines/>
      <w:spacing w:before="280" w:after="290" w:line="376" w:lineRule="auto"/>
      <w:outlineLvl w:val="3"/>
    </w:pPr>
    <w:rPr>
      <w:rFonts w:ascii="Arial" w:hAnsi="Arial" w:eastAsia="黑体" w:cs="Arial"/>
      <w:b/>
      <w:bCs/>
      <w:sz w:val="28"/>
      <w:szCs w:val="28"/>
    </w:rPr>
  </w:style>
  <w:style w:type="paragraph" w:styleId="7">
    <w:name w:val="heading 5"/>
    <w:basedOn w:val="1"/>
    <w:next w:val="5"/>
    <w:link w:val="168"/>
    <w:qFormat/>
    <w:uiPriority w:val="0"/>
    <w:pPr>
      <w:keepNext/>
      <w:autoSpaceDE w:val="0"/>
      <w:autoSpaceDN w:val="0"/>
      <w:adjustRightInd w:val="0"/>
      <w:outlineLvl w:val="4"/>
    </w:pPr>
    <w:rPr>
      <w:rFonts w:ascii="宋体"/>
      <w:color w:val="000000"/>
      <w:kern w:val="0"/>
      <w:sz w:val="28"/>
      <w:szCs w:val="28"/>
    </w:rPr>
  </w:style>
  <w:style w:type="paragraph" w:styleId="8">
    <w:name w:val="heading 6"/>
    <w:basedOn w:val="1"/>
    <w:next w:val="1"/>
    <w:link w:val="169"/>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170"/>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171"/>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172"/>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styleId="5">
    <w:name w:val="Normal Indent"/>
    <w:basedOn w:val="1"/>
    <w:next w:val="1"/>
    <w:link w:val="181"/>
    <w:qFormat/>
    <w:uiPriority w:val="0"/>
    <w:pPr>
      <w:ind w:firstLine="420"/>
    </w:pPr>
    <w:rPr>
      <w:szCs w:val="21"/>
    </w:rPr>
  </w:style>
  <w:style w:type="paragraph" w:styleId="12">
    <w:name w:val="List 3"/>
    <w:basedOn w:val="1"/>
    <w:qFormat/>
    <w:uiPriority w:val="0"/>
    <w:pPr>
      <w:ind w:left="100" w:leftChars="400" w:hanging="200" w:hangingChars="200"/>
    </w:pPr>
    <w:rPr>
      <w:szCs w:val="21"/>
    </w:rPr>
  </w:style>
  <w:style w:type="paragraph" w:styleId="13">
    <w:name w:val="toc 7"/>
    <w:basedOn w:val="1"/>
    <w:next w:val="1"/>
    <w:qFormat/>
    <w:uiPriority w:val="0"/>
    <w:pPr>
      <w:ind w:left="1260"/>
      <w:jc w:val="left"/>
    </w:pPr>
    <w:rPr>
      <w:szCs w:val="21"/>
    </w:rPr>
  </w:style>
  <w:style w:type="paragraph" w:styleId="14">
    <w:name w:val="Document Map"/>
    <w:basedOn w:val="1"/>
    <w:link w:val="173"/>
    <w:qFormat/>
    <w:uiPriority w:val="0"/>
    <w:pPr>
      <w:shd w:val="clear" w:color="auto" w:fill="000080"/>
    </w:pPr>
    <w:rPr>
      <w:szCs w:val="21"/>
    </w:rPr>
  </w:style>
  <w:style w:type="paragraph" w:styleId="15">
    <w:name w:val="annotation text"/>
    <w:basedOn w:val="1"/>
    <w:link w:val="174"/>
    <w:qFormat/>
    <w:uiPriority w:val="0"/>
    <w:pPr>
      <w:jc w:val="left"/>
    </w:pPr>
    <w:rPr>
      <w:szCs w:val="21"/>
    </w:rPr>
  </w:style>
  <w:style w:type="paragraph" w:styleId="16">
    <w:name w:val="Body Text 3"/>
    <w:basedOn w:val="1"/>
    <w:link w:val="175"/>
    <w:qFormat/>
    <w:uiPriority w:val="0"/>
    <w:rPr>
      <w:rFonts w:ascii="仿宋_GB2312" w:hAnsi="Arial" w:eastAsia="仿宋_GB2312"/>
      <w:sz w:val="32"/>
      <w:szCs w:val="32"/>
    </w:rPr>
  </w:style>
  <w:style w:type="paragraph" w:styleId="17">
    <w:name w:val="Body Text"/>
    <w:basedOn w:val="1"/>
    <w:next w:val="1"/>
    <w:link w:val="179"/>
    <w:qFormat/>
    <w:uiPriority w:val="0"/>
    <w:pPr>
      <w:spacing w:line="60" w:lineRule="auto"/>
    </w:pPr>
    <w:rPr>
      <w:rFonts w:ascii="仿宋_GB2312" w:eastAsia="仿宋_GB2312"/>
      <w:sz w:val="32"/>
    </w:rPr>
  </w:style>
  <w:style w:type="paragraph" w:styleId="18">
    <w:name w:val="Body Text Indent"/>
    <w:basedOn w:val="1"/>
    <w:next w:val="19"/>
    <w:link w:val="182"/>
    <w:qFormat/>
    <w:uiPriority w:val="0"/>
    <w:pPr>
      <w:ind w:firstLine="720" w:firstLineChars="225"/>
    </w:pPr>
    <w:rPr>
      <w:rFonts w:ascii="仿宋_GB2312" w:eastAsia="仿宋_GB2312"/>
      <w:sz w:val="32"/>
    </w:rPr>
  </w:style>
  <w:style w:type="paragraph" w:styleId="19">
    <w:name w:val="envelope return"/>
    <w:basedOn w:val="20"/>
    <w:qFormat/>
    <w:uiPriority w:val="0"/>
    <w:pPr>
      <w:snapToGrid w:val="0"/>
    </w:pPr>
    <w:rPr>
      <w:rFonts w:ascii="Arial" w:hAnsi="Arial"/>
    </w:rPr>
  </w:style>
  <w:style w:type="paragraph" w:customStyle="1" w:styleId="20">
    <w:name w:val="正文1_2"/>
    <w:next w:val="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Body Text First Indent 21"/>
    <w:basedOn w:val="22"/>
    <w:qFormat/>
    <w:uiPriority w:val="0"/>
    <w:pPr>
      <w:spacing w:after="120"/>
      <w:ind w:left="200" w:firstLine="200" w:firstLineChars="200"/>
    </w:pPr>
    <w:rPr>
      <w:rFonts w:eastAsia="Times New Roman"/>
      <w:sz w:val="24"/>
      <w:szCs w:val="24"/>
    </w:rPr>
  </w:style>
  <w:style w:type="paragraph" w:customStyle="1" w:styleId="22">
    <w:name w:val="正文文本缩进1"/>
    <w:basedOn w:val="23"/>
    <w:next w:val="19"/>
    <w:qFormat/>
    <w:uiPriority w:val="0"/>
    <w:pPr>
      <w:ind w:left="420" w:leftChars="200"/>
    </w:pPr>
  </w:style>
  <w:style w:type="paragraph" w:customStyle="1" w:styleId="23">
    <w:name w:val="正文1_0"/>
    <w:qFormat/>
    <w:uiPriority w:val="0"/>
    <w:pPr>
      <w:widowControl w:val="0"/>
      <w:jc w:val="both"/>
    </w:pPr>
    <w:rPr>
      <w:rFonts w:ascii="Times New Roman" w:hAnsi="Times New Roman" w:eastAsia="宋体" w:cs="Times New Roman"/>
      <w:lang w:val="en-US" w:eastAsia="zh-CN" w:bidi="ar-SA"/>
    </w:rPr>
  </w:style>
  <w:style w:type="paragraph" w:styleId="24">
    <w:name w:val="List 2"/>
    <w:basedOn w:val="1"/>
    <w:qFormat/>
    <w:uiPriority w:val="0"/>
    <w:pPr>
      <w:ind w:left="100" w:leftChars="200" w:hanging="200" w:hangingChars="200"/>
    </w:pPr>
    <w:rPr>
      <w:szCs w:val="21"/>
    </w:rPr>
  </w:style>
  <w:style w:type="paragraph" w:styleId="25">
    <w:name w:val="Block Text"/>
    <w:basedOn w:val="1"/>
    <w:qFormat/>
    <w:uiPriority w:val="0"/>
    <w:pPr>
      <w:spacing w:line="360" w:lineRule="exact"/>
      <w:ind w:left="1548" w:leftChars="-857" w:right="12" w:rightChars="12" w:hanging="2405" w:hangingChars="2405"/>
    </w:pPr>
    <w:rPr>
      <w:rFonts w:ascii="宋体"/>
      <w:bCs/>
      <w:sz w:val="28"/>
      <w:szCs w:val="22"/>
    </w:rPr>
  </w:style>
  <w:style w:type="paragraph" w:styleId="26">
    <w:name w:val="toc 5"/>
    <w:basedOn w:val="1"/>
    <w:next w:val="1"/>
    <w:qFormat/>
    <w:uiPriority w:val="0"/>
    <w:pPr>
      <w:ind w:left="840"/>
      <w:jc w:val="left"/>
    </w:pPr>
    <w:rPr>
      <w:szCs w:val="21"/>
    </w:rPr>
  </w:style>
  <w:style w:type="paragraph" w:styleId="27">
    <w:name w:val="toc 3"/>
    <w:basedOn w:val="1"/>
    <w:next w:val="1"/>
    <w:qFormat/>
    <w:uiPriority w:val="0"/>
    <w:pPr>
      <w:ind w:left="420"/>
      <w:jc w:val="left"/>
    </w:pPr>
    <w:rPr>
      <w:i/>
      <w:iCs/>
    </w:rPr>
  </w:style>
  <w:style w:type="paragraph" w:styleId="28">
    <w:name w:val="Plain Text"/>
    <w:basedOn w:val="1"/>
    <w:link w:val="183"/>
    <w:qFormat/>
    <w:uiPriority w:val="0"/>
    <w:rPr>
      <w:rFonts w:ascii="宋体" w:hAnsi="Courier New"/>
    </w:rPr>
  </w:style>
  <w:style w:type="paragraph" w:styleId="29">
    <w:name w:val="toc 8"/>
    <w:basedOn w:val="1"/>
    <w:next w:val="1"/>
    <w:qFormat/>
    <w:uiPriority w:val="0"/>
    <w:pPr>
      <w:ind w:left="1470"/>
      <w:jc w:val="left"/>
    </w:pPr>
    <w:rPr>
      <w:szCs w:val="21"/>
    </w:rPr>
  </w:style>
  <w:style w:type="paragraph" w:styleId="30">
    <w:name w:val="Date"/>
    <w:basedOn w:val="1"/>
    <w:next w:val="1"/>
    <w:link w:val="78"/>
    <w:qFormat/>
    <w:uiPriority w:val="0"/>
    <w:pPr>
      <w:ind w:left="100" w:leftChars="2500"/>
    </w:pPr>
  </w:style>
  <w:style w:type="paragraph" w:styleId="31">
    <w:name w:val="Body Text Indent 2"/>
    <w:basedOn w:val="1"/>
    <w:link w:val="184"/>
    <w:qFormat/>
    <w:uiPriority w:val="0"/>
    <w:pPr>
      <w:spacing w:line="540" w:lineRule="exact"/>
      <w:ind w:firstLine="720" w:firstLineChars="225"/>
      <w:jc w:val="left"/>
    </w:pPr>
    <w:rPr>
      <w:rFonts w:ascii="仿宋_GB2312" w:eastAsia="仿宋_GB2312"/>
      <w:sz w:val="32"/>
    </w:rPr>
  </w:style>
  <w:style w:type="paragraph" w:styleId="32">
    <w:name w:val="Balloon Text"/>
    <w:basedOn w:val="1"/>
    <w:link w:val="70"/>
    <w:qFormat/>
    <w:uiPriority w:val="0"/>
    <w:rPr>
      <w:sz w:val="18"/>
      <w:szCs w:val="18"/>
    </w:rPr>
  </w:style>
  <w:style w:type="paragraph" w:styleId="33">
    <w:name w:val="footer"/>
    <w:basedOn w:val="1"/>
    <w:link w:val="60"/>
    <w:qFormat/>
    <w:uiPriority w:val="0"/>
    <w:pPr>
      <w:tabs>
        <w:tab w:val="center" w:pos="4153"/>
        <w:tab w:val="right" w:pos="8306"/>
      </w:tabs>
      <w:snapToGrid w:val="0"/>
      <w:jc w:val="left"/>
    </w:pPr>
    <w:rPr>
      <w:sz w:val="18"/>
      <w:szCs w:val="18"/>
    </w:rPr>
  </w:style>
  <w:style w:type="paragraph" w:styleId="34">
    <w:name w:val="header"/>
    <w:basedOn w:val="1"/>
    <w:link w:val="59"/>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0"/>
    <w:pPr>
      <w:spacing w:before="120" w:after="120"/>
      <w:jc w:val="left"/>
    </w:pPr>
    <w:rPr>
      <w:rFonts w:ascii="Calibri" w:hAnsi="Calibri" w:cs="Calibri"/>
      <w:b/>
      <w:bCs/>
      <w:caps/>
      <w:sz w:val="20"/>
      <w:szCs w:val="20"/>
    </w:rPr>
  </w:style>
  <w:style w:type="paragraph" w:styleId="36">
    <w:name w:val="toc 4"/>
    <w:basedOn w:val="1"/>
    <w:next w:val="1"/>
    <w:qFormat/>
    <w:uiPriority w:val="0"/>
    <w:pPr>
      <w:ind w:left="1260" w:leftChars="600"/>
    </w:pPr>
  </w:style>
  <w:style w:type="paragraph" w:styleId="37">
    <w:name w:val="List"/>
    <w:basedOn w:val="1"/>
    <w:qFormat/>
    <w:uiPriority w:val="0"/>
    <w:pPr>
      <w:ind w:left="200" w:hanging="200" w:hangingChars="200"/>
    </w:pPr>
    <w:rPr>
      <w:szCs w:val="21"/>
    </w:rPr>
  </w:style>
  <w:style w:type="paragraph" w:styleId="38">
    <w:name w:val="toc 6"/>
    <w:basedOn w:val="1"/>
    <w:next w:val="1"/>
    <w:qFormat/>
    <w:uiPriority w:val="0"/>
    <w:pPr>
      <w:ind w:left="1050"/>
      <w:jc w:val="left"/>
    </w:pPr>
    <w:rPr>
      <w:szCs w:val="21"/>
    </w:rPr>
  </w:style>
  <w:style w:type="paragraph" w:styleId="39">
    <w:name w:val="Body Text Indent 3"/>
    <w:basedOn w:val="1"/>
    <w:link w:val="176"/>
    <w:qFormat/>
    <w:uiPriority w:val="0"/>
    <w:pPr>
      <w:ind w:left="645" w:firstLine="645"/>
    </w:pPr>
    <w:rPr>
      <w:rFonts w:ascii="Arial" w:hAnsi="Arial" w:eastAsia="仿宋_GB2312" w:cs="Arial"/>
      <w:color w:val="FFFF00"/>
      <w:sz w:val="32"/>
      <w:szCs w:val="32"/>
    </w:rPr>
  </w:style>
  <w:style w:type="paragraph" w:styleId="40">
    <w:name w:val="table of figures"/>
    <w:basedOn w:val="1"/>
    <w:next w:val="1"/>
    <w:qFormat/>
    <w:uiPriority w:val="0"/>
    <w:pPr>
      <w:ind w:left="840" w:hanging="420"/>
    </w:pPr>
    <w:rPr>
      <w:szCs w:val="21"/>
    </w:rPr>
  </w:style>
  <w:style w:type="paragraph" w:styleId="41">
    <w:name w:val="toc 2"/>
    <w:basedOn w:val="1"/>
    <w:next w:val="1"/>
    <w:qFormat/>
    <w:uiPriority w:val="0"/>
    <w:pPr>
      <w:ind w:left="210"/>
      <w:jc w:val="left"/>
    </w:pPr>
    <w:rPr>
      <w:rFonts w:ascii="Calibri" w:hAnsi="Calibri" w:cs="Calibri"/>
      <w:smallCaps/>
      <w:sz w:val="20"/>
      <w:szCs w:val="20"/>
    </w:rPr>
  </w:style>
  <w:style w:type="paragraph" w:styleId="42">
    <w:name w:val="toc 9"/>
    <w:basedOn w:val="1"/>
    <w:next w:val="1"/>
    <w:qFormat/>
    <w:uiPriority w:val="0"/>
    <w:pPr>
      <w:ind w:left="1680"/>
      <w:jc w:val="left"/>
    </w:pPr>
    <w:rPr>
      <w:szCs w:val="21"/>
    </w:rPr>
  </w:style>
  <w:style w:type="paragraph" w:styleId="43">
    <w:name w:val="Body Text 2"/>
    <w:basedOn w:val="1"/>
    <w:link w:val="177"/>
    <w:qFormat/>
    <w:uiPriority w:val="0"/>
    <w:pPr>
      <w:widowControl/>
      <w:jc w:val="center"/>
    </w:pPr>
    <w:rPr>
      <w:rFonts w:ascii="楷体_GB2312" w:eastAsia="楷体_GB2312"/>
      <w:sz w:val="28"/>
      <w:szCs w:val="28"/>
    </w:rPr>
  </w:style>
  <w:style w:type="paragraph" w:styleId="44">
    <w:name w:val="Normal (Web)"/>
    <w:basedOn w:val="1"/>
    <w:next w:val="36"/>
    <w:qFormat/>
    <w:uiPriority w:val="99"/>
    <w:pPr>
      <w:spacing w:beforeAutospacing="1" w:afterAutospacing="1"/>
      <w:jc w:val="left"/>
    </w:pPr>
    <w:rPr>
      <w:kern w:val="0"/>
      <w:sz w:val="24"/>
    </w:rPr>
  </w:style>
  <w:style w:type="paragraph" w:styleId="45">
    <w:name w:val="index 1"/>
    <w:basedOn w:val="1"/>
    <w:next w:val="1"/>
    <w:qFormat/>
    <w:uiPriority w:val="0"/>
    <w:pPr>
      <w:spacing w:line="240" w:lineRule="atLeast"/>
    </w:pPr>
    <w:rPr>
      <w:b/>
      <w:bCs/>
      <w:szCs w:val="21"/>
    </w:rPr>
  </w:style>
  <w:style w:type="paragraph" w:styleId="46">
    <w:name w:val="annotation subject"/>
    <w:basedOn w:val="15"/>
    <w:next w:val="15"/>
    <w:link w:val="178"/>
    <w:qFormat/>
    <w:uiPriority w:val="0"/>
    <w:rPr>
      <w:b/>
      <w:bCs/>
    </w:rPr>
  </w:style>
  <w:style w:type="paragraph" w:styleId="47">
    <w:name w:val="Body Text First Indent"/>
    <w:basedOn w:val="1"/>
    <w:link w:val="180"/>
    <w:qFormat/>
    <w:uiPriority w:val="0"/>
    <w:pPr>
      <w:spacing w:line="360" w:lineRule="auto"/>
      <w:ind w:firstLine="200" w:firstLineChars="200"/>
    </w:pPr>
    <w:rPr>
      <w:rFonts w:ascii="仿宋_GB2312" w:eastAsia="仿宋_GB2312"/>
      <w:sz w:val="30"/>
      <w:szCs w:val="30"/>
    </w:rPr>
  </w:style>
  <w:style w:type="paragraph" w:styleId="48">
    <w:name w:val="Body Text First Indent 2"/>
    <w:basedOn w:val="18"/>
    <w:link w:val="185"/>
    <w:qFormat/>
    <w:uiPriority w:val="0"/>
    <w:pPr>
      <w:spacing w:after="120"/>
      <w:ind w:left="200" w:leftChars="200" w:firstLine="200" w:firstLineChars="200"/>
    </w:pPr>
    <w:rPr>
      <w:rFonts w:ascii="Times New Roman"/>
      <w:kern w:val="0"/>
      <w:sz w:val="24"/>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rPr>
  </w:style>
  <w:style w:type="character" w:styleId="53">
    <w:name w:val="page number"/>
    <w:basedOn w:val="51"/>
    <w:qFormat/>
    <w:uiPriority w:val="0"/>
  </w:style>
  <w:style w:type="character" w:styleId="54">
    <w:name w:val="FollowedHyperlink"/>
    <w:qFormat/>
    <w:uiPriority w:val="0"/>
    <w:rPr>
      <w:color w:val="800080"/>
      <w:u w:val="single"/>
    </w:rPr>
  </w:style>
  <w:style w:type="character" w:styleId="55">
    <w:name w:val="Emphasis"/>
    <w:qFormat/>
    <w:uiPriority w:val="0"/>
    <w:rPr>
      <w:color w:val="CC0033"/>
    </w:rPr>
  </w:style>
  <w:style w:type="character" w:styleId="56">
    <w:name w:val="Hyperlink"/>
    <w:qFormat/>
    <w:uiPriority w:val="0"/>
    <w:rPr>
      <w:color w:val="666666"/>
      <w:u w:val="none"/>
    </w:rPr>
  </w:style>
  <w:style w:type="character" w:styleId="57">
    <w:name w:val="annotation reference"/>
    <w:qFormat/>
    <w:uiPriority w:val="0"/>
    <w:rPr>
      <w:sz w:val="21"/>
      <w:szCs w:val="21"/>
    </w:rPr>
  </w:style>
  <w:style w:type="paragraph" w:customStyle="1" w:styleId="58">
    <w:name w:val="表格文字"/>
    <w:basedOn w:val="1"/>
    <w:next w:val="17"/>
    <w:qFormat/>
    <w:uiPriority w:val="0"/>
    <w:pPr>
      <w:jc w:val="left"/>
    </w:pPr>
    <w:rPr>
      <w:sz w:val="18"/>
    </w:rPr>
  </w:style>
  <w:style w:type="character" w:customStyle="1" w:styleId="59">
    <w:name w:val="页眉 字符"/>
    <w:basedOn w:val="51"/>
    <w:link w:val="34"/>
    <w:qFormat/>
    <w:uiPriority w:val="0"/>
    <w:rPr>
      <w:kern w:val="2"/>
      <w:sz w:val="18"/>
      <w:szCs w:val="18"/>
    </w:rPr>
  </w:style>
  <w:style w:type="character" w:customStyle="1" w:styleId="60">
    <w:name w:val="页脚 字符"/>
    <w:basedOn w:val="51"/>
    <w:link w:val="33"/>
    <w:qFormat/>
    <w:uiPriority w:val="0"/>
    <w:rPr>
      <w:kern w:val="2"/>
      <w:sz w:val="18"/>
      <w:szCs w:val="18"/>
    </w:rPr>
  </w:style>
  <w:style w:type="paragraph" w:customStyle="1" w:styleId="61">
    <w:name w:val="正文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_1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Normal_10"/>
    <w:qFormat/>
    <w:uiPriority w:val="0"/>
    <w:rPr>
      <w:rFonts w:ascii="黑体" w:hAnsi="黑体" w:eastAsia="黑体" w:cs="Times New Roman"/>
      <w:b/>
      <w:sz w:val="32"/>
      <w:szCs w:val="24"/>
      <w:lang w:val="en-US" w:eastAsia="zh-CN" w:bidi="ar-SA"/>
    </w:rPr>
  </w:style>
  <w:style w:type="paragraph" w:customStyle="1" w:styleId="66">
    <w:name w:val="Char"/>
    <w:basedOn w:val="1"/>
    <w:qFormat/>
    <w:uiPriority w:val="0"/>
    <w:rPr>
      <w:rFonts w:ascii="Tahoma" w:hAnsi="Tahoma" w:cs="仿宋_GB2312"/>
      <w:sz w:val="24"/>
      <w:szCs w:val="28"/>
    </w:rPr>
  </w:style>
  <w:style w:type="paragraph" w:customStyle="1" w:styleId="67">
    <w:name w:val="正文_15"/>
    <w:qFormat/>
    <w:uiPriority w:val="0"/>
    <w:pPr>
      <w:widowControl w:val="0"/>
      <w:jc w:val="both"/>
    </w:pPr>
    <w:rPr>
      <w:rFonts w:ascii="Calibri" w:hAnsi="Calibri" w:eastAsia="宋体" w:cs="Times New Roman"/>
      <w:sz w:val="21"/>
      <w:szCs w:val="22"/>
      <w:lang w:val="en-US" w:eastAsia="zh-CN" w:bidi="ar-SA"/>
    </w:rPr>
  </w:style>
  <w:style w:type="paragraph" w:customStyle="1" w:styleId="68">
    <w:name w:val="样式 标题 1 + 宋体 居中 段前: 48 磅 段后: 12 磅 行距: 1.5 倍行距"/>
    <w:basedOn w:val="2"/>
    <w:qFormat/>
    <w:uiPriority w:val="0"/>
    <w:pPr>
      <w:spacing w:line="360" w:lineRule="auto"/>
    </w:pPr>
    <w:rPr>
      <w:rFonts w:ascii="宋体" w:hAnsi="宋体" w:cs="宋体"/>
      <w:kern w:val="2"/>
      <w:szCs w:val="32"/>
      <w:lang w:val="zh-CN"/>
    </w:rPr>
  </w:style>
  <w:style w:type="paragraph" w:customStyle="1" w:styleId="69">
    <w:name w:val="正文_4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0">
    <w:name w:val="批注框文本 字符"/>
    <w:basedOn w:val="51"/>
    <w:link w:val="32"/>
    <w:qFormat/>
    <w:uiPriority w:val="0"/>
    <w:rPr>
      <w:rFonts w:ascii="Times New Roman" w:hAnsi="Times New Roman" w:eastAsia="宋体" w:cs="Times New Roman"/>
      <w:kern w:val="2"/>
      <w:sz w:val="18"/>
      <w:szCs w:val="18"/>
    </w:rPr>
  </w:style>
  <w:style w:type="paragraph" w:customStyle="1" w:styleId="7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_1_0_0"/>
    <w:qFormat/>
    <w:uiPriority w:val="0"/>
    <w:pPr>
      <w:widowControl w:val="0"/>
      <w:jc w:val="both"/>
    </w:pPr>
    <w:rPr>
      <w:rFonts w:ascii="Calibri" w:hAnsi="Calibri" w:eastAsia="宋体" w:cs="Times New Roman"/>
      <w:kern w:val="2"/>
      <w:sz w:val="21"/>
      <w:lang w:val="en-US" w:eastAsia="zh-CN" w:bidi="ar-SA"/>
    </w:rPr>
  </w:style>
  <w:style w:type="paragraph" w:customStyle="1" w:styleId="73">
    <w:name w:val="正文_0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74">
    <w:name w:val="正文_0_0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
    <w:name w:val="正文_0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76">
    <w:name w:val="正文_7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_1_0_0_0"/>
    <w:qFormat/>
    <w:uiPriority w:val="0"/>
    <w:pPr>
      <w:widowControl w:val="0"/>
      <w:jc w:val="both"/>
    </w:pPr>
    <w:rPr>
      <w:rFonts w:ascii="Calibri" w:hAnsi="Calibri" w:eastAsia="宋体" w:cs="Times New Roman"/>
      <w:kern w:val="2"/>
      <w:sz w:val="21"/>
      <w:lang w:val="en-US" w:eastAsia="zh-CN" w:bidi="ar-SA"/>
    </w:rPr>
  </w:style>
  <w:style w:type="character" w:customStyle="1" w:styleId="78">
    <w:name w:val="日期 字符"/>
    <w:basedOn w:val="51"/>
    <w:link w:val="30"/>
    <w:qFormat/>
    <w:uiPriority w:val="0"/>
    <w:rPr>
      <w:rFonts w:ascii="Times New Roman" w:hAnsi="Times New Roman" w:eastAsia="宋体" w:cs="Times New Roman"/>
      <w:kern w:val="2"/>
      <w:sz w:val="21"/>
      <w:szCs w:val="24"/>
    </w:rPr>
  </w:style>
  <w:style w:type="paragraph" w:customStyle="1" w:styleId="7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正文文本缩进 21"/>
    <w:basedOn w:val="81"/>
    <w:qFormat/>
    <w:uiPriority w:val="0"/>
    <w:pPr>
      <w:spacing w:line="540" w:lineRule="exact"/>
      <w:ind w:firstLine="225" w:firstLineChars="225"/>
      <w:jc w:val="left"/>
    </w:pPr>
    <w:rPr>
      <w:rFonts w:ascii="仿宋_GB2312" w:eastAsia="仿宋_GB2312"/>
      <w:sz w:val="32"/>
    </w:rPr>
  </w:style>
  <w:style w:type="paragraph" w:customStyle="1" w:styleId="81">
    <w:name w:val="正文2"/>
    <w:qFormat/>
    <w:uiPriority w:val="0"/>
    <w:pPr>
      <w:widowControl w:val="0"/>
      <w:jc w:val="both"/>
    </w:pPr>
    <w:rPr>
      <w:rFonts w:ascii="Calibri" w:hAnsi="Calibri" w:eastAsia="宋体" w:cs="Times New Roman"/>
      <w:lang w:val="en-US" w:eastAsia="zh-CN" w:bidi="ar-SA"/>
    </w:rPr>
  </w:style>
  <w:style w:type="paragraph" w:customStyle="1" w:styleId="82">
    <w:name w:val="正文_2"/>
    <w:next w:val="83"/>
    <w:qFormat/>
    <w:uiPriority w:val="0"/>
    <w:pPr>
      <w:widowControl w:val="0"/>
      <w:jc w:val="both"/>
    </w:pPr>
    <w:rPr>
      <w:rFonts w:ascii="Times New Roman" w:hAnsi="Times New Roman" w:eastAsia="宋体" w:cs="Times New Roman"/>
      <w:szCs w:val="24"/>
      <w:lang w:val="en-US" w:eastAsia="zh-CN" w:bidi="ar-SA"/>
    </w:rPr>
  </w:style>
  <w:style w:type="paragraph" w:customStyle="1" w:styleId="83">
    <w:name w:val="正文文本_0"/>
    <w:basedOn w:val="82"/>
    <w:qFormat/>
    <w:uiPriority w:val="0"/>
    <w:rPr>
      <w:rFonts w:ascii="仿宋" w:eastAsia="仿宋" w:cs="仿宋"/>
      <w:sz w:val="24"/>
      <w:lang w:val="zh-CN" w:bidi="zh-CN"/>
    </w:rPr>
  </w:style>
  <w:style w:type="paragraph" w:customStyle="1" w:styleId="84">
    <w:name w:val="文本块_0"/>
    <w:basedOn w:val="82"/>
    <w:qFormat/>
    <w:uiPriority w:val="0"/>
    <w:pPr>
      <w:spacing w:line="360" w:lineRule="exact"/>
      <w:ind w:left="1548" w:leftChars="-857" w:right="12" w:rightChars="12" w:hanging="2405" w:hangingChars="2405"/>
    </w:pPr>
    <w:rPr>
      <w:rFonts w:ascii="宋体"/>
      <w:bCs/>
      <w:sz w:val="28"/>
    </w:rPr>
  </w:style>
  <w:style w:type="paragraph" w:customStyle="1" w:styleId="85">
    <w:name w:val="标题 1_0"/>
    <w:basedOn w:val="82"/>
    <w:next w:val="82"/>
    <w:qFormat/>
    <w:uiPriority w:val="0"/>
    <w:pPr>
      <w:keepNext/>
      <w:keepLines/>
      <w:spacing w:before="340" w:after="330" w:line="576" w:lineRule="auto"/>
      <w:outlineLvl w:val="0"/>
    </w:pPr>
    <w:rPr>
      <w:b/>
      <w:kern w:val="44"/>
      <w:sz w:val="44"/>
      <w:szCs w:val="20"/>
    </w:rPr>
  </w:style>
  <w:style w:type="paragraph" w:customStyle="1" w:styleId="86">
    <w:name w:val="正文_4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
    <w:name w:val="正文_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8">
    <w:name w:val="正文_4_0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
    <w:name w:val="正文_9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0">
    <w:name w:val="正文_6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1">
    <w:name w:val="正文_1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2">
    <w:name w:val="正文_1_0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
    <w:name w:val="正文_1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4">
    <w:name w:val="正文_9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5">
    <w:name w:val="Normal_20_0"/>
    <w:qFormat/>
    <w:uiPriority w:val="0"/>
    <w:rPr>
      <w:rFonts w:ascii="Times New Roman" w:hAnsi="Times New Roman" w:eastAsia="Times New Roman" w:cs="Times New Roman"/>
      <w:sz w:val="24"/>
      <w:szCs w:val="24"/>
      <w:lang w:val="en-US" w:eastAsia="zh-CN" w:bidi="ar-SA"/>
    </w:rPr>
  </w:style>
  <w:style w:type="paragraph" w:customStyle="1" w:styleId="96">
    <w:name w:val="Normal_0_3"/>
    <w:qFormat/>
    <w:uiPriority w:val="0"/>
    <w:rPr>
      <w:rFonts w:ascii="黑体" w:hAnsi="Times New Roman" w:eastAsia="黑体" w:cs="Times New Roman"/>
      <w:b/>
      <w:sz w:val="32"/>
      <w:szCs w:val="24"/>
      <w:lang w:val="en-US" w:eastAsia="zh-CN" w:bidi="ar-SA"/>
    </w:rPr>
  </w:style>
  <w:style w:type="paragraph" w:customStyle="1" w:styleId="97">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Normal_0_2"/>
    <w:next w:val="99"/>
    <w:qFormat/>
    <w:uiPriority w:val="0"/>
    <w:rPr>
      <w:rFonts w:ascii="黑体" w:hAnsi="Times New Roman" w:eastAsia="黑体" w:cs="Times New Roman"/>
      <w:b/>
      <w:sz w:val="32"/>
      <w:szCs w:val="24"/>
      <w:lang w:val="en-US" w:eastAsia="zh-CN" w:bidi="ar-SA"/>
    </w:rPr>
  </w:style>
  <w:style w:type="paragraph" w:customStyle="1" w:styleId="99">
    <w:name w:val="标题 41"/>
    <w:basedOn w:val="98"/>
    <w:next w:val="98"/>
    <w:qFormat/>
    <w:uiPriority w:val="0"/>
    <w:pPr>
      <w:keepNext/>
      <w:keepLines/>
      <w:widowControl w:val="0"/>
      <w:tabs>
        <w:tab w:val="left" w:pos="1134"/>
        <w:tab w:val="right" w:pos="7371"/>
      </w:tabs>
      <w:overflowPunct w:val="0"/>
      <w:autoSpaceDE w:val="0"/>
      <w:autoSpaceDN w:val="0"/>
      <w:adjustRightInd w:val="0"/>
      <w:snapToGrid w:val="0"/>
      <w:spacing w:line="360" w:lineRule="auto"/>
      <w:textAlignment w:val="baseline"/>
      <w:outlineLvl w:val="3"/>
    </w:pPr>
    <w:rPr>
      <w:rFonts w:ascii="宋体"/>
      <w:color w:val="800000"/>
      <w:sz w:val="28"/>
      <w:szCs w:val="20"/>
    </w:rPr>
  </w:style>
  <w:style w:type="paragraph" w:customStyle="1" w:styleId="100">
    <w:name w:val="Normal_1_2"/>
    <w:qFormat/>
    <w:uiPriority w:val="0"/>
    <w:rPr>
      <w:rFonts w:ascii="Times New Roman" w:hAnsi="Times New Roman" w:eastAsia="Times New Roman" w:cs="Times New Roman"/>
      <w:sz w:val="24"/>
      <w:szCs w:val="24"/>
      <w:lang w:val="en-US" w:eastAsia="zh-CN" w:bidi="ar-SA"/>
    </w:rPr>
  </w:style>
  <w:style w:type="paragraph" w:customStyle="1" w:styleId="101">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2">
    <w:name w:val="Normal_1_1"/>
    <w:qFormat/>
    <w:uiPriority w:val="0"/>
    <w:rPr>
      <w:rFonts w:ascii="黑体" w:hAnsi="Times New Roman" w:eastAsia="黑体" w:cs="Times New Roman"/>
      <w:b/>
      <w:sz w:val="32"/>
      <w:szCs w:val="24"/>
      <w:lang w:val="en-US" w:eastAsia="zh-CN" w:bidi="ar-SA"/>
    </w:rPr>
  </w:style>
  <w:style w:type="paragraph" w:customStyle="1" w:styleId="103">
    <w:name w:val="Normal_2_0"/>
    <w:qFormat/>
    <w:uiPriority w:val="0"/>
    <w:rPr>
      <w:rFonts w:ascii="黑体" w:hAnsi="Times New Roman" w:eastAsia="黑体" w:cs="Times New Roman"/>
      <w:b/>
      <w:sz w:val="32"/>
      <w:szCs w:val="24"/>
      <w:lang w:val="en-US" w:eastAsia="zh-CN" w:bidi="ar-SA"/>
    </w:rPr>
  </w:style>
  <w:style w:type="paragraph" w:customStyle="1" w:styleId="104">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Normal_3_0"/>
    <w:qFormat/>
    <w:uiPriority w:val="0"/>
    <w:rPr>
      <w:rFonts w:ascii="黑体" w:hAnsi="Times New Roman" w:eastAsia="黑体" w:cs="Times New Roman"/>
      <w:b/>
      <w:sz w:val="32"/>
      <w:szCs w:val="24"/>
      <w:lang w:val="en-US" w:eastAsia="zh-CN" w:bidi="ar-SA"/>
    </w:rPr>
  </w:style>
  <w:style w:type="paragraph" w:customStyle="1" w:styleId="106">
    <w:name w:val="Normal_8_0"/>
    <w:qFormat/>
    <w:uiPriority w:val="0"/>
    <w:rPr>
      <w:rFonts w:ascii="Times New Roman" w:hAnsi="Times New Roman" w:eastAsia="Times New Roman" w:cs="Times New Roman"/>
      <w:sz w:val="24"/>
      <w:szCs w:val="24"/>
      <w:lang w:val="en-US" w:eastAsia="zh-CN" w:bidi="ar-SA"/>
    </w:rPr>
  </w:style>
  <w:style w:type="paragraph" w:customStyle="1" w:styleId="107">
    <w:name w:val="Normal_9_0"/>
    <w:qFormat/>
    <w:uiPriority w:val="99"/>
    <w:rPr>
      <w:rFonts w:ascii="Times New Roman" w:hAnsi="Times New Roman" w:eastAsia="Times New Roman" w:cs="Times New Roman"/>
      <w:sz w:val="24"/>
      <w:szCs w:val="24"/>
      <w:lang w:val="en-US" w:eastAsia="zh-CN" w:bidi="ar-SA"/>
    </w:rPr>
  </w:style>
  <w:style w:type="paragraph" w:customStyle="1" w:styleId="108">
    <w:name w:val="Normal_10_0"/>
    <w:qFormat/>
    <w:uiPriority w:val="0"/>
    <w:rPr>
      <w:rFonts w:ascii="黑体" w:hAnsi="Times New Roman" w:eastAsia="黑体" w:cs="Times New Roman"/>
      <w:b/>
      <w:sz w:val="32"/>
      <w:szCs w:val="24"/>
      <w:lang w:val="en-US" w:eastAsia="zh-CN" w:bidi="ar-SA"/>
    </w:rPr>
  </w:style>
  <w:style w:type="paragraph" w:customStyle="1" w:styleId="109">
    <w:name w:val="正文_8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
    <w:name w:val="列出段落_2"/>
    <w:basedOn w:val="109"/>
    <w:qFormat/>
    <w:uiPriority w:val="34"/>
    <w:pPr>
      <w:ind w:firstLine="420" w:firstLineChars="200"/>
    </w:pPr>
  </w:style>
  <w:style w:type="paragraph" w:customStyle="1" w:styleId="111">
    <w:name w:val="Normal_11_0"/>
    <w:qFormat/>
    <w:uiPriority w:val="0"/>
    <w:rPr>
      <w:rFonts w:ascii="黑体" w:hAnsi="Times New Roman" w:eastAsia="黑体" w:cs="Times New Roman"/>
      <w:b/>
      <w:sz w:val="32"/>
      <w:szCs w:val="24"/>
      <w:lang w:val="en-US" w:eastAsia="zh-CN" w:bidi="ar-SA"/>
    </w:rPr>
  </w:style>
  <w:style w:type="paragraph" w:customStyle="1" w:styleId="112">
    <w:name w:val="正文_7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正文缩进_0_0"/>
    <w:basedOn w:val="112"/>
    <w:qFormat/>
    <w:uiPriority w:val="0"/>
    <w:pPr>
      <w:ind w:firstLine="200" w:firstLineChars="200"/>
    </w:pPr>
    <w:rPr>
      <w:szCs w:val="22"/>
    </w:rPr>
  </w:style>
  <w:style w:type="paragraph" w:customStyle="1" w:styleId="114">
    <w:name w:val="纯文本_0_0"/>
    <w:basedOn w:val="115"/>
    <w:qFormat/>
    <w:uiPriority w:val="0"/>
    <w:rPr>
      <w:rFonts w:ascii="宋体"/>
      <w:szCs w:val="21"/>
    </w:rPr>
  </w:style>
  <w:style w:type="paragraph" w:customStyle="1" w:styleId="115">
    <w:name w:val="正文_7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Normal_14_0"/>
    <w:qFormat/>
    <w:uiPriority w:val="0"/>
    <w:rPr>
      <w:rFonts w:ascii="黑体" w:hAnsi="Times New Roman" w:eastAsia="黑体" w:cs="Times New Roman"/>
      <w:b/>
      <w:sz w:val="32"/>
      <w:szCs w:val="24"/>
      <w:lang w:val="en-US" w:eastAsia="zh-CN" w:bidi="ar-SA"/>
    </w:rPr>
  </w:style>
  <w:style w:type="paragraph" w:customStyle="1" w:styleId="118">
    <w:name w:val="正文_1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Normal_15_0"/>
    <w:qFormat/>
    <w:uiPriority w:val="0"/>
    <w:rPr>
      <w:rFonts w:ascii="黑体" w:hAnsi="Times New Roman" w:eastAsia="黑体" w:cs="Times New Roman"/>
      <w:b/>
      <w:sz w:val="32"/>
      <w:szCs w:val="24"/>
      <w:lang w:val="en-US" w:eastAsia="zh-CN" w:bidi="ar-SA"/>
    </w:rPr>
  </w:style>
  <w:style w:type="paragraph" w:customStyle="1" w:styleId="120">
    <w:name w:val="正文_1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
    <w:name w:val="正文_9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Normal_14_0_0"/>
    <w:qFormat/>
    <w:uiPriority w:val="0"/>
    <w:rPr>
      <w:rFonts w:ascii="黑体" w:hAnsi="Times New Roman" w:eastAsia="黑体" w:cs="Times New Roman"/>
      <w:b/>
      <w:sz w:val="32"/>
      <w:szCs w:val="24"/>
      <w:lang w:val="en-US" w:eastAsia="zh-CN" w:bidi="ar-SA"/>
    </w:rPr>
  </w:style>
  <w:style w:type="paragraph" w:customStyle="1" w:styleId="123">
    <w:name w:val="正文_1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Normal_16_0"/>
    <w:qFormat/>
    <w:uiPriority w:val="0"/>
    <w:rPr>
      <w:rFonts w:ascii="黑体" w:hAnsi="Times New Roman" w:eastAsia="黑体" w:cs="Times New Roman"/>
      <w:b/>
      <w:sz w:val="32"/>
      <w:szCs w:val="24"/>
      <w:lang w:val="en-US" w:eastAsia="zh-CN" w:bidi="ar-SA"/>
    </w:rPr>
  </w:style>
  <w:style w:type="paragraph" w:customStyle="1" w:styleId="125">
    <w:name w:val="正文_13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正文_1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
    <w:name w:val="Normal_17_0"/>
    <w:qFormat/>
    <w:uiPriority w:val="0"/>
    <w:rPr>
      <w:rFonts w:ascii="黑体" w:hAnsi="Times New Roman" w:eastAsia="黑体" w:cs="Times New Roman"/>
      <w:b/>
      <w:sz w:val="32"/>
      <w:szCs w:val="24"/>
      <w:lang w:val="en-US" w:eastAsia="zh-CN" w:bidi="ar-SA"/>
    </w:rPr>
  </w:style>
  <w:style w:type="paragraph" w:customStyle="1" w:styleId="128">
    <w:name w:val="正文_1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9">
    <w:name w:val="Normal_0_1"/>
    <w:qFormat/>
    <w:uiPriority w:val="0"/>
    <w:rPr>
      <w:rFonts w:ascii="黑体" w:hAnsi="Times New Roman" w:eastAsia="黑体" w:cs="Times New Roman"/>
      <w:b/>
      <w:sz w:val="32"/>
      <w:szCs w:val="24"/>
      <w:lang w:val="en-US" w:eastAsia="zh-CN" w:bidi="ar-SA"/>
    </w:rPr>
  </w:style>
  <w:style w:type="paragraph" w:customStyle="1" w:styleId="130">
    <w:name w:val="WPSOffice手动目录 1"/>
    <w:qFormat/>
    <w:uiPriority w:val="0"/>
    <w:rPr>
      <w:rFonts w:ascii="Times New Roman" w:hAnsi="Times New Roman" w:eastAsia="宋体" w:cs="Times New Roman"/>
      <w:lang w:val="en-US" w:eastAsia="zh-CN" w:bidi="ar-SA"/>
    </w:rPr>
  </w:style>
  <w:style w:type="paragraph" w:customStyle="1" w:styleId="13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32">
    <w:name w:val="正文111"/>
    <w:next w:val="133"/>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33">
    <w:name w:val="正文1"/>
    <w:basedOn w:val="132"/>
    <w:next w:val="134"/>
    <w:qFormat/>
    <w:uiPriority w:val="0"/>
    <w:pPr>
      <w:spacing w:line="360" w:lineRule="auto"/>
      <w:ind w:firstLine="482"/>
    </w:pPr>
    <w:rPr>
      <w:sz w:val="24"/>
    </w:rPr>
  </w:style>
  <w:style w:type="paragraph" w:customStyle="1" w:styleId="134">
    <w:name w:val="正文文本1"/>
    <w:next w:val="135"/>
    <w:qFormat/>
    <w:uiPriority w:val="0"/>
    <w:pPr>
      <w:keepLines/>
      <w:spacing w:after="120" w:line="220" w:lineRule="atLeast"/>
    </w:pPr>
    <w:rPr>
      <w:rFonts w:ascii="宋体" w:hAnsi="Times New Roman" w:eastAsia="宋体" w:cs="Times New Roman"/>
      <w:lang w:val="en-GB" w:eastAsia="zh-CN" w:bidi="ar-SA"/>
    </w:rPr>
  </w:style>
  <w:style w:type="paragraph" w:customStyle="1" w:styleId="135">
    <w:name w:val="一级条标题"/>
    <w:basedOn w:val="136"/>
    <w:next w:val="137"/>
    <w:qFormat/>
    <w:uiPriority w:val="0"/>
    <w:pPr>
      <w:outlineLvl w:val="2"/>
    </w:pPr>
  </w:style>
  <w:style w:type="paragraph" w:customStyle="1" w:styleId="136">
    <w:name w:val="章标题"/>
    <w:next w:val="133"/>
    <w:qFormat/>
    <w:uiPriority w:val="0"/>
    <w:pPr>
      <w:jc w:val="both"/>
      <w:outlineLvl w:val="1"/>
    </w:pPr>
    <w:rPr>
      <w:rFonts w:ascii="黑体" w:hAnsi="Times New Roman" w:eastAsia="黑体" w:cs="Times New Roman"/>
      <w:sz w:val="21"/>
      <w:lang w:val="en-US" w:eastAsia="zh-CN" w:bidi="ar-SA"/>
    </w:rPr>
  </w:style>
  <w:style w:type="paragraph" w:customStyle="1" w:styleId="137">
    <w:name w:val="段"/>
    <w:next w:val="133"/>
    <w:qFormat/>
    <w:uiPriority w:val="0"/>
    <w:pPr>
      <w:widowControl w:val="0"/>
      <w:spacing w:line="360" w:lineRule="atLeast"/>
      <w:ind w:firstLine="200"/>
      <w:jc w:val="both"/>
    </w:pPr>
    <w:rPr>
      <w:rFonts w:ascii="宋体" w:hAnsi="Times New Roman" w:eastAsia="宋体" w:cs="Times New Roman"/>
      <w:sz w:val="21"/>
      <w:lang w:val="en-US" w:eastAsia="zh-CN" w:bidi="ar-SA"/>
    </w:rPr>
  </w:style>
  <w:style w:type="paragraph" w:customStyle="1" w:styleId="138">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标题 3_0"/>
    <w:basedOn w:val="1"/>
    <w:next w:val="1"/>
    <w:qFormat/>
    <w:uiPriority w:val="0"/>
    <w:pPr>
      <w:keepNext/>
      <w:keepLines/>
      <w:spacing w:before="260" w:after="260" w:line="413" w:lineRule="auto"/>
      <w:outlineLvl w:val="2"/>
    </w:pPr>
    <w:rPr>
      <w:b/>
      <w:sz w:val="32"/>
      <w:szCs w:val="22"/>
      <w:lang w:val="zh-CN" w:bidi="zh-CN"/>
    </w:rPr>
  </w:style>
  <w:style w:type="paragraph" w:customStyle="1" w:styleId="141">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2">
    <w:name w:val="Normal_6_0"/>
    <w:qFormat/>
    <w:uiPriority w:val="0"/>
    <w:rPr>
      <w:rFonts w:ascii="黑体" w:hAnsi="黑体" w:eastAsia="黑体" w:cs="Times New Roman"/>
      <w:b/>
      <w:sz w:val="32"/>
      <w:szCs w:val="24"/>
      <w:lang w:val="en-US" w:eastAsia="zh-CN" w:bidi="ar-SA"/>
    </w:rPr>
  </w:style>
  <w:style w:type="paragraph" w:customStyle="1" w:styleId="143">
    <w:name w:val="正文_10_0_0"/>
    <w:qFormat/>
    <w:uiPriority w:val="0"/>
    <w:pPr>
      <w:widowControl w:val="0"/>
      <w:jc w:val="both"/>
    </w:pPr>
    <w:rPr>
      <w:rFonts w:ascii="等线" w:hAnsi="等线" w:eastAsia="等线" w:cs="Times New Roman"/>
      <w:kern w:val="2"/>
      <w:sz w:val="21"/>
      <w:szCs w:val="24"/>
      <w:lang w:val="en-US" w:eastAsia="zh-CN" w:bidi="ar-SA"/>
    </w:rPr>
  </w:style>
  <w:style w:type="paragraph" w:customStyle="1" w:styleId="144">
    <w:name w:val="正文_10_1"/>
    <w:qFormat/>
    <w:uiPriority w:val="0"/>
    <w:pPr>
      <w:widowControl w:val="0"/>
      <w:jc w:val="both"/>
    </w:pPr>
    <w:rPr>
      <w:rFonts w:ascii="Calibri" w:hAnsi="Calibri" w:eastAsia="等线" w:cs="Times New Roman"/>
      <w:kern w:val="2"/>
      <w:sz w:val="21"/>
      <w:szCs w:val="22"/>
      <w:lang w:val="en-US" w:eastAsia="zh-CN" w:bidi="ar-SA"/>
    </w:rPr>
  </w:style>
  <w:style w:type="paragraph" w:customStyle="1" w:styleId="145">
    <w:name w:val="正文_12_0_0"/>
    <w:qFormat/>
    <w:uiPriority w:val="0"/>
    <w:pPr>
      <w:widowControl w:val="0"/>
      <w:jc w:val="both"/>
    </w:pPr>
    <w:rPr>
      <w:rFonts w:ascii="等线" w:hAnsi="等线" w:eastAsia="等线" w:cs="Times New Roman"/>
      <w:kern w:val="2"/>
      <w:sz w:val="21"/>
      <w:szCs w:val="24"/>
      <w:lang w:val="en-US" w:eastAsia="zh-CN" w:bidi="ar-SA"/>
    </w:rPr>
  </w:style>
  <w:style w:type="paragraph" w:customStyle="1" w:styleId="146">
    <w:name w:val="正文_19"/>
    <w:qFormat/>
    <w:uiPriority w:val="0"/>
    <w:pPr>
      <w:widowControl w:val="0"/>
      <w:jc w:val="both"/>
    </w:pPr>
    <w:rPr>
      <w:rFonts w:ascii="等线" w:hAnsi="等线" w:eastAsia="等线" w:cs="Times New Roman"/>
      <w:kern w:val="2"/>
      <w:sz w:val="21"/>
      <w:szCs w:val="22"/>
      <w:lang w:val="en-US" w:eastAsia="zh-CN" w:bidi="ar-SA"/>
    </w:rPr>
  </w:style>
  <w:style w:type="paragraph" w:customStyle="1" w:styleId="147">
    <w:name w:val="正文_14_0_0"/>
    <w:qFormat/>
    <w:uiPriority w:val="0"/>
    <w:pPr>
      <w:widowControl w:val="0"/>
      <w:jc w:val="both"/>
    </w:pPr>
    <w:rPr>
      <w:rFonts w:ascii="等线" w:hAnsi="等线" w:eastAsia="等线" w:cs="Times New Roman"/>
      <w:kern w:val="2"/>
      <w:sz w:val="21"/>
      <w:szCs w:val="24"/>
      <w:lang w:val="en-US" w:eastAsia="zh-CN" w:bidi="ar-SA"/>
    </w:rPr>
  </w:style>
  <w:style w:type="paragraph" w:customStyle="1" w:styleId="148">
    <w:name w:val="Normal_19"/>
    <w:qFormat/>
    <w:uiPriority w:val="0"/>
    <w:rPr>
      <w:rFonts w:ascii="黑体" w:hAnsi="黑体" w:eastAsia="黑体" w:cs="Times New Roman"/>
      <w:b/>
      <w:sz w:val="32"/>
      <w:szCs w:val="24"/>
      <w:lang w:val="en-US" w:eastAsia="zh-CN" w:bidi="ar-SA"/>
    </w:rPr>
  </w:style>
  <w:style w:type="character" w:customStyle="1" w:styleId="149">
    <w:name w:val="标题 1 字符"/>
    <w:link w:val="2"/>
    <w:qFormat/>
    <w:uiPriority w:val="0"/>
    <w:rPr>
      <w:b/>
      <w:kern w:val="44"/>
      <w:sz w:val="44"/>
    </w:rPr>
  </w:style>
  <w:style w:type="paragraph" w:customStyle="1" w:styleId="150">
    <w:name w:val="正文_16_0"/>
    <w:next w:val="15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1">
    <w:name w:val="标题 3_0_0"/>
    <w:basedOn w:val="152"/>
    <w:next w:val="150"/>
    <w:qFormat/>
    <w:uiPriority w:val="0"/>
    <w:pPr>
      <w:keepNext/>
      <w:keepLines/>
      <w:spacing w:before="260" w:after="260" w:line="413" w:lineRule="auto"/>
      <w:outlineLvl w:val="2"/>
    </w:pPr>
    <w:rPr>
      <w:rFonts w:ascii="Times New Roman" w:hAnsi="Times New Roman"/>
      <w:b/>
      <w:sz w:val="32"/>
      <w:szCs w:val="20"/>
    </w:rPr>
  </w:style>
  <w:style w:type="paragraph" w:customStyle="1" w:styleId="152">
    <w:name w:val="正文_3_1"/>
    <w:next w:val="15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3">
    <w:name w:val="Normal_0_1_0_0"/>
    <w:qFormat/>
    <w:uiPriority w:val="0"/>
    <w:pPr>
      <w:widowControl w:val="0"/>
      <w:jc w:val="both"/>
    </w:pPr>
    <w:rPr>
      <w:rFonts w:ascii="Calibri" w:hAnsi="Calibri" w:eastAsia="宋体" w:cs="Times New Roman"/>
      <w:lang w:val="en-US" w:eastAsia="zh-CN" w:bidi="ar-SA"/>
    </w:rPr>
  </w:style>
  <w:style w:type="paragraph" w:customStyle="1" w:styleId="154">
    <w:name w:val="正文_21"/>
    <w:basedOn w:val="82"/>
    <w:qFormat/>
    <w:uiPriority w:val="0"/>
    <w:rPr>
      <w:rFonts w:ascii="Calibri" w:hAnsi="Calibri"/>
      <w:kern w:val="2"/>
      <w:sz w:val="21"/>
      <w:szCs w:val="22"/>
    </w:rPr>
  </w:style>
  <w:style w:type="paragraph" w:customStyle="1" w:styleId="155">
    <w:name w:val="普通(网站)1"/>
    <w:basedOn w:val="82"/>
    <w:semiHidden/>
    <w:qFormat/>
    <w:uiPriority w:val="0"/>
    <w:pPr>
      <w:widowControl/>
      <w:spacing w:before="100" w:beforeAutospacing="1" w:after="100" w:afterAutospacing="1"/>
      <w:jc w:val="left"/>
    </w:pPr>
    <w:rPr>
      <w:rFonts w:eastAsia="Times New Roman"/>
      <w:sz w:val="24"/>
    </w:rPr>
  </w:style>
  <w:style w:type="table" w:customStyle="1" w:styleId="156">
    <w:name w:val="Table Normal"/>
    <w:unhideWhenUsed/>
    <w:qFormat/>
    <w:uiPriority w:val="0"/>
    <w:tblPr>
      <w:tblCellMar>
        <w:top w:w="0" w:type="dxa"/>
        <w:left w:w="0" w:type="dxa"/>
        <w:bottom w:w="0" w:type="dxa"/>
        <w:right w:w="0" w:type="dxa"/>
      </w:tblCellMar>
    </w:tblPr>
  </w:style>
  <w:style w:type="paragraph" w:customStyle="1" w:styleId="157">
    <w:name w:val="Normal_2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Normal_0_1_0"/>
    <w:qFormat/>
    <w:uiPriority w:val="0"/>
    <w:pPr>
      <w:widowControl w:val="0"/>
      <w:jc w:val="both"/>
    </w:pPr>
    <w:rPr>
      <w:rFonts w:ascii="Calibri" w:hAnsi="Calibri" w:eastAsia="宋体" w:cs="Times New Roman"/>
      <w:lang w:val="en-US" w:eastAsia="zh-CN" w:bidi="ar-SA"/>
    </w:rPr>
  </w:style>
  <w:style w:type="paragraph" w:customStyle="1" w:styleId="159">
    <w:name w:val="正文3"/>
    <w:next w:val="160"/>
    <w:qFormat/>
    <w:uiPriority w:val="0"/>
    <w:rPr>
      <w:rFonts w:ascii="Times New Roman" w:hAnsi="Times New Roman" w:eastAsia="Times New Roman" w:cs="Times New Roman"/>
      <w:sz w:val="24"/>
      <w:szCs w:val="24"/>
      <w:lang w:val="en-US" w:eastAsia="zh-CN" w:bidi="ar-SA"/>
    </w:rPr>
  </w:style>
  <w:style w:type="paragraph" w:customStyle="1" w:styleId="160">
    <w:name w:val="正文文本2"/>
    <w:basedOn w:val="157"/>
    <w:qFormat/>
    <w:uiPriority w:val="0"/>
    <w:rPr>
      <w:rFonts w:ascii="仿宋" w:eastAsia="仿宋" w:cs="仿宋"/>
      <w:sz w:val="24"/>
      <w:lang w:val="zh-CN" w:bidi="zh-CN"/>
    </w:rPr>
  </w:style>
  <w:style w:type="character" w:customStyle="1" w:styleId="161">
    <w:name w:val="font31"/>
    <w:basedOn w:val="51"/>
    <w:qFormat/>
    <w:uiPriority w:val="0"/>
    <w:rPr>
      <w:rFonts w:hint="eastAsia" w:ascii="宋体" w:hAnsi="宋体" w:eastAsia="宋体" w:cs="宋体"/>
      <w:b/>
      <w:bCs/>
      <w:color w:val="000000"/>
      <w:sz w:val="24"/>
      <w:szCs w:val="24"/>
      <w:u w:val="none"/>
    </w:rPr>
  </w:style>
  <w:style w:type="character" w:customStyle="1" w:styleId="162">
    <w:name w:val="font81"/>
    <w:basedOn w:val="51"/>
    <w:qFormat/>
    <w:uiPriority w:val="0"/>
    <w:rPr>
      <w:rFonts w:hint="eastAsia" w:ascii="宋体" w:hAnsi="宋体" w:eastAsia="宋体" w:cs="宋体"/>
      <w:b/>
      <w:bCs/>
      <w:color w:val="FF0000"/>
      <w:sz w:val="24"/>
      <w:szCs w:val="24"/>
      <w:u w:val="none"/>
    </w:rPr>
  </w:style>
  <w:style w:type="character" w:customStyle="1" w:styleId="163">
    <w:name w:val="font121"/>
    <w:basedOn w:val="51"/>
    <w:qFormat/>
    <w:uiPriority w:val="0"/>
    <w:rPr>
      <w:rFonts w:ascii="Arial" w:hAnsi="Arial" w:cs="Arial"/>
      <w:b/>
      <w:bCs/>
      <w:color w:val="000000"/>
      <w:sz w:val="24"/>
      <w:szCs w:val="24"/>
      <w:u w:val="none"/>
    </w:rPr>
  </w:style>
  <w:style w:type="character" w:customStyle="1" w:styleId="164">
    <w:name w:val="font141"/>
    <w:basedOn w:val="51"/>
    <w:qFormat/>
    <w:uiPriority w:val="0"/>
    <w:rPr>
      <w:rFonts w:ascii="宋体" w:hAnsi="宋体" w:eastAsia="宋体" w:cs="宋体"/>
      <w:b/>
      <w:bCs/>
      <w:color w:val="000000"/>
      <w:sz w:val="24"/>
      <w:szCs w:val="24"/>
      <w:u w:val="none"/>
    </w:rPr>
  </w:style>
  <w:style w:type="character" w:customStyle="1" w:styleId="165">
    <w:name w:val="标题 2 字符"/>
    <w:basedOn w:val="51"/>
    <w:link w:val="3"/>
    <w:qFormat/>
    <w:uiPriority w:val="0"/>
    <w:rPr>
      <w:rFonts w:ascii="Arial" w:hAnsi="Arial" w:eastAsia="幼圆" w:cs="Arial"/>
      <w:b/>
      <w:bCs/>
      <w:kern w:val="2"/>
      <w:sz w:val="44"/>
      <w:szCs w:val="44"/>
    </w:rPr>
  </w:style>
  <w:style w:type="character" w:customStyle="1" w:styleId="166">
    <w:name w:val="标题 3 字符"/>
    <w:basedOn w:val="51"/>
    <w:link w:val="4"/>
    <w:qFormat/>
    <w:uiPriority w:val="0"/>
    <w:rPr>
      <w:b/>
      <w:bCs/>
      <w:kern w:val="2"/>
      <w:sz w:val="32"/>
      <w:szCs w:val="32"/>
    </w:rPr>
  </w:style>
  <w:style w:type="character" w:customStyle="1" w:styleId="167">
    <w:name w:val="标题 4 字符"/>
    <w:basedOn w:val="51"/>
    <w:link w:val="6"/>
    <w:qFormat/>
    <w:uiPriority w:val="0"/>
    <w:rPr>
      <w:rFonts w:ascii="Arial" w:hAnsi="Arial" w:eastAsia="黑体" w:cs="Arial"/>
      <w:b/>
      <w:bCs/>
      <w:kern w:val="2"/>
      <w:sz w:val="28"/>
      <w:szCs w:val="28"/>
    </w:rPr>
  </w:style>
  <w:style w:type="character" w:customStyle="1" w:styleId="168">
    <w:name w:val="标题 5 字符"/>
    <w:basedOn w:val="51"/>
    <w:link w:val="7"/>
    <w:qFormat/>
    <w:uiPriority w:val="0"/>
    <w:rPr>
      <w:rFonts w:ascii="宋体"/>
      <w:color w:val="000000"/>
      <w:sz w:val="28"/>
      <w:szCs w:val="28"/>
    </w:rPr>
  </w:style>
  <w:style w:type="character" w:customStyle="1" w:styleId="169">
    <w:name w:val="标题 6 字符"/>
    <w:basedOn w:val="51"/>
    <w:link w:val="8"/>
    <w:qFormat/>
    <w:uiPriority w:val="0"/>
    <w:rPr>
      <w:rFonts w:ascii="Arial" w:hAnsi="Arial" w:eastAsia="黑体"/>
      <w:b/>
      <w:bCs/>
      <w:kern w:val="2"/>
      <w:sz w:val="24"/>
      <w:szCs w:val="24"/>
    </w:rPr>
  </w:style>
  <w:style w:type="character" w:customStyle="1" w:styleId="170">
    <w:name w:val="标题 7 字符"/>
    <w:basedOn w:val="51"/>
    <w:link w:val="9"/>
    <w:qFormat/>
    <w:uiPriority w:val="0"/>
    <w:rPr>
      <w:b/>
      <w:bCs/>
      <w:kern w:val="2"/>
      <w:sz w:val="24"/>
      <w:szCs w:val="24"/>
    </w:rPr>
  </w:style>
  <w:style w:type="character" w:customStyle="1" w:styleId="171">
    <w:name w:val="标题 8 字符"/>
    <w:basedOn w:val="51"/>
    <w:link w:val="10"/>
    <w:qFormat/>
    <w:uiPriority w:val="0"/>
    <w:rPr>
      <w:rFonts w:ascii="Arial" w:hAnsi="Arial" w:eastAsia="黑体"/>
      <w:kern w:val="2"/>
      <w:sz w:val="24"/>
      <w:szCs w:val="24"/>
    </w:rPr>
  </w:style>
  <w:style w:type="character" w:customStyle="1" w:styleId="172">
    <w:name w:val="标题 9 字符"/>
    <w:basedOn w:val="51"/>
    <w:link w:val="11"/>
    <w:qFormat/>
    <w:uiPriority w:val="0"/>
    <w:rPr>
      <w:rFonts w:ascii="Arial" w:hAnsi="Arial" w:eastAsia="黑体"/>
      <w:kern w:val="2"/>
      <w:sz w:val="21"/>
      <w:szCs w:val="21"/>
    </w:rPr>
  </w:style>
  <w:style w:type="character" w:customStyle="1" w:styleId="173">
    <w:name w:val="文档结构图 字符"/>
    <w:basedOn w:val="51"/>
    <w:link w:val="14"/>
    <w:qFormat/>
    <w:uiPriority w:val="0"/>
    <w:rPr>
      <w:kern w:val="2"/>
      <w:sz w:val="21"/>
      <w:szCs w:val="21"/>
      <w:shd w:val="clear" w:color="auto" w:fill="000080"/>
    </w:rPr>
  </w:style>
  <w:style w:type="character" w:customStyle="1" w:styleId="174">
    <w:name w:val="批注文字 字符"/>
    <w:basedOn w:val="51"/>
    <w:link w:val="15"/>
    <w:qFormat/>
    <w:uiPriority w:val="0"/>
    <w:rPr>
      <w:kern w:val="2"/>
      <w:sz w:val="21"/>
      <w:szCs w:val="21"/>
    </w:rPr>
  </w:style>
  <w:style w:type="character" w:customStyle="1" w:styleId="175">
    <w:name w:val="正文文本 3 字符"/>
    <w:basedOn w:val="51"/>
    <w:link w:val="16"/>
    <w:qFormat/>
    <w:uiPriority w:val="0"/>
    <w:rPr>
      <w:rFonts w:ascii="仿宋_GB2312" w:hAnsi="Arial" w:eastAsia="仿宋_GB2312"/>
      <w:kern w:val="2"/>
      <w:sz w:val="32"/>
      <w:szCs w:val="32"/>
    </w:rPr>
  </w:style>
  <w:style w:type="character" w:customStyle="1" w:styleId="176">
    <w:name w:val="正文文本缩进 3 字符"/>
    <w:basedOn w:val="51"/>
    <w:link w:val="39"/>
    <w:qFormat/>
    <w:uiPriority w:val="0"/>
    <w:rPr>
      <w:rFonts w:ascii="Arial" w:hAnsi="Arial" w:eastAsia="仿宋_GB2312" w:cs="Arial"/>
      <w:color w:val="FFFF00"/>
      <w:kern w:val="2"/>
      <w:sz w:val="32"/>
      <w:szCs w:val="32"/>
    </w:rPr>
  </w:style>
  <w:style w:type="character" w:customStyle="1" w:styleId="177">
    <w:name w:val="正文文本 2 字符"/>
    <w:basedOn w:val="51"/>
    <w:link w:val="43"/>
    <w:qFormat/>
    <w:uiPriority w:val="0"/>
    <w:rPr>
      <w:rFonts w:ascii="楷体_GB2312" w:eastAsia="楷体_GB2312"/>
      <w:kern w:val="2"/>
      <w:sz w:val="28"/>
      <w:szCs w:val="28"/>
    </w:rPr>
  </w:style>
  <w:style w:type="character" w:customStyle="1" w:styleId="178">
    <w:name w:val="批注主题 字符"/>
    <w:basedOn w:val="174"/>
    <w:link w:val="46"/>
    <w:qFormat/>
    <w:uiPriority w:val="0"/>
    <w:rPr>
      <w:b/>
      <w:bCs/>
      <w:kern w:val="2"/>
      <w:sz w:val="21"/>
      <w:szCs w:val="21"/>
    </w:rPr>
  </w:style>
  <w:style w:type="character" w:customStyle="1" w:styleId="179">
    <w:name w:val="正文文本 字符"/>
    <w:basedOn w:val="51"/>
    <w:link w:val="17"/>
    <w:qFormat/>
    <w:uiPriority w:val="0"/>
    <w:rPr>
      <w:rFonts w:ascii="仿宋_GB2312" w:eastAsia="仿宋_GB2312"/>
      <w:kern w:val="2"/>
      <w:sz w:val="32"/>
      <w:szCs w:val="24"/>
    </w:rPr>
  </w:style>
  <w:style w:type="character" w:customStyle="1" w:styleId="180">
    <w:name w:val="正文文本首行缩进 字符"/>
    <w:basedOn w:val="179"/>
    <w:link w:val="47"/>
    <w:qFormat/>
    <w:uiPriority w:val="0"/>
    <w:rPr>
      <w:rFonts w:ascii="仿宋_GB2312" w:eastAsia="仿宋_GB2312"/>
      <w:kern w:val="2"/>
      <w:sz w:val="30"/>
      <w:szCs w:val="30"/>
    </w:rPr>
  </w:style>
  <w:style w:type="character" w:customStyle="1" w:styleId="181">
    <w:name w:val="正文缩进 字符"/>
    <w:link w:val="5"/>
    <w:qFormat/>
    <w:uiPriority w:val="0"/>
    <w:rPr>
      <w:kern w:val="2"/>
      <w:sz w:val="21"/>
      <w:szCs w:val="21"/>
    </w:rPr>
  </w:style>
  <w:style w:type="character" w:customStyle="1" w:styleId="182">
    <w:name w:val="正文文本缩进 字符"/>
    <w:link w:val="18"/>
    <w:qFormat/>
    <w:uiPriority w:val="0"/>
    <w:rPr>
      <w:rFonts w:ascii="仿宋_GB2312" w:eastAsia="仿宋_GB2312"/>
      <w:kern w:val="2"/>
      <w:sz w:val="32"/>
      <w:szCs w:val="24"/>
    </w:rPr>
  </w:style>
  <w:style w:type="character" w:customStyle="1" w:styleId="183">
    <w:name w:val="纯文本 字符"/>
    <w:link w:val="28"/>
    <w:qFormat/>
    <w:uiPriority w:val="0"/>
    <w:rPr>
      <w:rFonts w:ascii="宋体" w:hAnsi="Courier New"/>
      <w:kern w:val="2"/>
      <w:sz w:val="21"/>
      <w:szCs w:val="24"/>
    </w:rPr>
  </w:style>
  <w:style w:type="character" w:customStyle="1" w:styleId="184">
    <w:name w:val="正文文本缩进 2 字符"/>
    <w:link w:val="31"/>
    <w:qFormat/>
    <w:uiPriority w:val="0"/>
    <w:rPr>
      <w:rFonts w:ascii="仿宋_GB2312" w:eastAsia="仿宋_GB2312"/>
      <w:kern w:val="2"/>
      <w:sz w:val="32"/>
      <w:szCs w:val="24"/>
    </w:rPr>
  </w:style>
  <w:style w:type="character" w:customStyle="1" w:styleId="185">
    <w:name w:val="正文文本首行缩进 2 字符"/>
    <w:link w:val="48"/>
    <w:qFormat/>
    <w:uiPriority w:val="0"/>
    <w:rPr>
      <w:rFonts w:eastAsia="仿宋_GB2312"/>
      <w:sz w:val="24"/>
      <w:szCs w:val="24"/>
    </w:rPr>
  </w:style>
  <w:style w:type="character" w:customStyle="1" w:styleId="186">
    <w:name w:val="默认段落字体1"/>
    <w:unhideWhenUsed/>
    <w:qFormat/>
    <w:uiPriority w:val="1"/>
    <w:rPr>
      <w:rFonts w:ascii="Times New Roman" w:hAnsi="Times New Roman"/>
      <w:kern w:val="2"/>
      <w:sz w:val="21"/>
      <w:szCs w:val="21"/>
      <w:lang w:val="en-US" w:eastAsia="zh-CN" w:bidi="ar-SA"/>
    </w:rPr>
  </w:style>
  <w:style w:type="paragraph" w:customStyle="1" w:styleId="187">
    <w:name w:val="正文空2字"/>
    <w:basedOn w:val="18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88">
    <w:name w:val="左对齐正文"/>
    <w:qFormat/>
    <w:uiPriority w:val="99"/>
    <w:rPr>
      <w:rFonts w:ascii="Calibri" w:hAnsi="Calibri" w:eastAsia="仿宋_GB2312" w:cs="Calibri"/>
      <w:kern w:val="2"/>
      <w:sz w:val="32"/>
      <w:szCs w:val="32"/>
      <w:lang w:val="en-US" w:eastAsia="zh-CN" w:bidi="ar-SA"/>
    </w:rPr>
  </w:style>
  <w:style w:type="paragraph" w:customStyle="1" w:styleId="189">
    <w:name w:val="索引 41"/>
    <w:basedOn w:val="1"/>
    <w:next w:val="1"/>
    <w:semiHidden/>
    <w:qFormat/>
    <w:uiPriority w:val="0"/>
    <w:pPr>
      <w:ind w:left="1260"/>
    </w:pPr>
    <w:rPr>
      <w:rFonts w:ascii="Calibri" w:hAnsi="Calibri" w:eastAsia="Calibri" w:cs="宋体"/>
      <w:sz w:val="20"/>
      <w:szCs w:val="21"/>
      <w:lang w:val="zh-CN"/>
    </w:rPr>
  </w:style>
  <w:style w:type="character" w:customStyle="1" w:styleId="190">
    <w:name w:val="font5 Char"/>
    <w:qFormat/>
    <w:uiPriority w:val="0"/>
    <w:rPr>
      <w:rFonts w:ascii="宋体" w:hAnsi="宋体" w:eastAsia="宋体"/>
      <w:sz w:val="28"/>
      <w:szCs w:val="28"/>
      <w:lang w:val="en-US" w:eastAsia="zh-CN" w:bidi="ar-SA"/>
    </w:rPr>
  </w:style>
  <w:style w:type="character" w:customStyle="1" w:styleId="191">
    <w:name w:val="二级目录 Char"/>
    <w:link w:val="192"/>
    <w:qFormat/>
    <w:uiPriority w:val="0"/>
    <w:rPr>
      <w:b/>
      <w:kern w:val="2"/>
      <w:sz w:val="30"/>
      <w:szCs w:val="28"/>
    </w:rPr>
  </w:style>
  <w:style w:type="paragraph" w:customStyle="1" w:styleId="192">
    <w:name w:val="二级目录"/>
    <w:next w:val="1"/>
    <w:link w:val="191"/>
    <w:qFormat/>
    <w:uiPriority w:val="0"/>
    <w:pPr>
      <w:tabs>
        <w:tab w:val="left" w:pos="907"/>
        <w:tab w:val="left" w:pos="1145"/>
      </w:tabs>
      <w:ind w:left="907" w:hanging="907"/>
      <w:outlineLvl w:val="1"/>
    </w:pPr>
    <w:rPr>
      <w:rFonts w:ascii="Times New Roman" w:hAnsi="Times New Roman" w:eastAsia="宋体" w:cs="Times New Roman"/>
      <w:b/>
      <w:kern w:val="2"/>
      <w:sz w:val="30"/>
      <w:szCs w:val="28"/>
      <w:lang w:val="en-US" w:eastAsia="zh-CN" w:bidi="ar-SA"/>
    </w:rPr>
  </w:style>
  <w:style w:type="character" w:customStyle="1" w:styleId="193">
    <w:name w:val="列出段落 Char"/>
    <w:link w:val="194"/>
    <w:qFormat/>
    <w:locked/>
    <w:uiPriority w:val="0"/>
    <w:rPr>
      <w:rFonts w:ascii="Calibri" w:hAnsi="Calibri"/>
      <w:sz w:val="24"/>
      <w:szCs w:val="24"/>
      <w:lang w:eastAsia="en-US" w:bidi="en-US"/>
    </w:rPr>
  </w:style>
  <w:style w:type="paragraph" w:customStyle="1" w:styleId="194">
    <w:name w:val="列出段落1"/>
    <w:basedOn w:val="1"/>
    <w:link w:val="193"/>
    <w:qFormat/>
    <w:uiPriority w:val="0"/>
    <w:pPr>
      <w:widowControl/>
      <w:ind w:left="720"/>
      <w:contextualSpacing/>
      <w:jc w:val="left"/>
    </w:pPr>
    <w:rPr>
      <w:rFonts w:ascii="Calibri" w:hAnsi="Calibri"/>
      <w:kern w:val="0"/>
      <w:sz w:val="24"/>
      <w:lang w:eastAsia="en-US" w:bidi="en-US"/>
    </w:rPr>
  </w:style>
  <w:style w:type="paragraph" w:customStyle="1" w:styleId="195">
    <w:name w:val="Body Text(ch)"/>
    <w:basedOn w:val="1"/>
    <w:next w:val="17"/>
    <w:qFormat/>
    <w:uiPriority w:val="0"/>
    <w:pPr>
      <w:spacing w:after="120"/>
    </w:pPr>
    <w:rPr>
      <w:rFonts w:ascii="宋体" w:hAnsi="Arial"/>
      <w:bCs/>
      <w:iCs/>
    </w:rPr>
  </w:style>
  <w:style w:type="paragraph" w:customStyle="1" w:styleId="196">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9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99">
    <w:name w:val="table_lines"/>
    <w:basedOn w:val="1"/>
    <w:qFormat/>
    <w:uiPriority w:val="0"/>
    <w:pPr>
      <w:widowControl/>
      <w:jc w:val="left"/>
    </w:pPr>
    <w:rPr>
      <w:kern w:val="0"/>
      <w:sz w:val="20"/>
      <w:szCs w:val="20"/>
      <w:lang w:val="de-DE" w:eastAsia="de-DE"/>
    </w:rPr>
  </w:style>
  <w:style w:type="paragraph" w:customStyle="1" w:styleId="200">
    <w:name w:val="附录1"/>
    <w:qFormat/>
    <w:uiPriority w:val="0"/>
    <w:pPr>
      <w:numPr>
        <w:ilvl w:val="0"/>
        <w:numId w:val="2"/>
      </w:numPr>
      <w:snapToGrid w:val="0"/>
      <w:spacing w:before="240" w:line="600" w:lineRule="atLeast"/>
    </w:pPr>
    <w:rPr>
      <w:rFonts w:ascii="Times New Roman" w:hAnsi="Times New Roman" w:eastAsia="宋体" w:cs="Times New Roman"/>
      <w:b/>
      <w:i/>
      <w:sz w:val="28"/>
      <w:lang w:val="en-US" w:eastAsia="zh-CN" w:bidi="ar-SA"/>
    </w:rPr>
  </w:style>
  <w:style w:type="paragraph" w:customStyle="1" w:styleId="201">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02">
    <w:name w:val="Char Char Char Char"/>
    <w:basedOn w:val="14"/>
    <w:qFormat/>
    <w:uiPriority w:val="0"/>
    <w:pPr>
      <w:adjustRightInd w:val="0"/>
      <w:snapToGrid w:val="0"/>
      <w:spacing w:line="360" w:lineRule="auto"/>
    </w:pPr>
    <w:rPr>
      <w:rFonts w:ascii="Tahoma" w:hAnsi="Tahoma"/>
      <w:sz w:val="24"/>
      <w:szCs w:val="24"/>
    </w:rPr>
  </w:style>
  <w:style w:type="paragraph" w:styleId="203">
    <w:name w:val="List Paragraph"/>
    <w:basedOn w:val="1"/>
    <w:qFormat/>
    <w:uiPriority w:val="0"/>
    <w:pPr>
      <w:widowControl/>
      <w:ind w:left="720"/>
      <w:contextualSpacing/>
      <w:jc w:val="left"/>
    </w:pPr>
    <w:rPr>
      <w:rFonts w:ascii="Calibri" w:hAnsi="Calibri"/>
      <w:kern w:val="0"/>
      <w:sz w:val="24"/>
      <w:lang w:eastAsia="en-US" w:bidi="en-US"/>
    </w:rPr>
  </w:style>
  <w:style w:type="paragraph" w:customStyle="1" w:styleId="204">
    <w:name w:val="4"/>
    <w:basedOn w:val="1"/>
    <w:next w:val="39"/>
    <w:qFormat/>
    <w:uiPriority w:val="0"/>
    <w:pPr>
      <w:spacing w:line="360" w:lineRule="auto"/>
      <w:ind w:firstLine="420"/>
    </w:pPr>
    <w:rPr>
      <w:color w:val="FF0000"/>
      <w:sz w:val="24"/>
    </w:rPr>
  </w:style>
  <w:style w:type="paragraph" w:customStyle="1" w:styleId="20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206">
    <w:name w:val="Char Char Char Char Char Char Char Char Char Char"/>
    <w:basedOn w:val="1"/>
    <w:qFormat/>
    <w:uiPriority w:val="0"/>
    <w:pPr>
      <w:adjustRightInd w:val="0"/>
      <w:spacing w:line="360" w:lineRule="auto"/>
    </w:pPr>
    <w:rPr>
      <w:kern w:val="0"/>
      <w:sz w:val="24"/>
      <w:szCs w:val="20"/>
    </w:rPr>
  </w:style>
  <w:style w:type="paragraph" w:customStyle="1" w:styleId="207">
    <w:name w:val="样式1"/>
    <w:basedOn w:val="1"/>
    <w:qFormat/>
    <w:uiPriority w:val="0"/>
    <w:pPr>
      <w:numPr>
        <w:ilvl w:val="0"/>
        <w:numId w:val="3"/>
      </w:numPr>
      <w:adjustRightInd w:val="0"/>
      <w:textAlignment w:val="baseline"/>
    </w:pPr>
    <w:rPr>
      <w:rFonts w:ascii="宋体" w:hAnsi="宋体"/>
      <w:kern w:val="0"/>
      <w:szCs w:val="21"/>
    </w:rPr>
  </w:style>
  <w:style w:type="paragraph" w:customStyle="1" w:styleId="208">
    <w:name w:val="font6"/>
    <w:basedOn w:val="1"/>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209">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10">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211">
    <w:name w:val="标题3"/>
    <w:basedOn w:val="1"/>
    <w:next w:val="1"/>
    <w:qFormat/>
    <w:uiPriority w:val="0"/>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212">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rPr>
  </w:style>
  <w:style w:type="paragraph" w:customStyle="1" w:styleId="213">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214">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15">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216">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217">
    <w:name w:val="table_1stline"/>
    <w:basedOn w:val="1"/>
    <w:qFormat/>
    <w:uiPriority w:val="0"/>
    <w:pPr>
      <w:widowControl/>
      <w:spacing w:before="120"/>
      <w:jc w:val="left"/>
    </w:pPr>
    <w:rPr>
      <w:bCs/>
      <w:kern w:val="0"/>
      <w:sz w:val="20"/>
      <w:szCs w:val="20"/>
      <w:lang w:val="de-DE" w:eastAsia="de-DE"/>
    </w:rPr>
  </w:style>
  <w:style w:type="paragraph" w:customStyle="1" w:styleId="218">
    <w:name w:val="font5"/>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219">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220">
    <w:name w:val="_Style 114"/>
    <w:semiHidden/>
    <w:qFormat/>
    <w:uiPriority w:val="99"/>
    <w:rPr>
      <w:rFonts w:ascii="Times New Roman" w:hAnsi="Times New Roman" w:eastAsia="宋体" w:cs="Times New Roman"/>
      <w:kern w:val="2"/>
      <w:sz w:val="21"/>
      <w:szCs w:val="21"/>
      <w:lang w:val="en-US" w:eastAsia="zh-CN" w:bidi="ar-SA"/>
    </w:rPr>
  </w:style>
  <w:style w:type="paragraph" w:styleId="221">
    <w:name w:val="No Spacing"/>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22">
    <w:name w:val="Normal_5_0"/>
    <w:qFormat/>
    <w:uiPriority w:val="0"/>
    <w:pPr>
      <w:widowControl w:val="0"/>
      <w:jc w:val="both"/>
    </w:pPr>
    <w:rPr>
      <w:rFonts w:ascii="Calibri" w:hAnsi="Calibri" w:eastAsia="宋体" w:cs="Times New Roman"/>
      <w:sz w:val="21"/>
      <w:szCs w:val="22"/>
      <w:lang w:val="en-US" w:eastAsia="zh-CN" w:bidi="ar-SA"/>
    </w:rPr>
  </w:style>
  <w:style w:type="paragraph" w:customStyle="1" w:styleId="223">
    <w:name w:val="标题 2_0"/>
    <w:basedOn w:val="82"/>
    <w:next w:val="82"/>
    <w:qFormat/>
    <w:uiPriority w:val="0"/>
    <w:pPr>
      <w:keepNext/>
      <w:keepLines/>
      <w:spacing w:before="260" w:after="260" w:line="413" w:lineRule="auto"/>
      <w:outlineLvl w:val="1"/>
    </w:pPr>
    <w:rPr>
      <w:rFonts w:ascii="Arial" w:hAnsi="Arial" w:eastAsia="黑体"/>
      <w:b/>
      <w:sz w:val="32"/>
      <w:szCs w:val="20"/>
    </w:rPr>
  </w:style>
  <w:style w:type="paragraph" w:customStyle="1" w:styleId="224">
    <w:name w:val="正文文本12"/>
    <w:basedOn w:val="1"/>
    <w:qFormat/>
    <w:uiPriority w:val="1"/>
    <w:pPr>
      <w:ind w:left="120"/>
    </w:pPr>
    <w:rPr>
      <w:rFonts w:ascii="宋体" w:hAnsi="宋体" w:cs="宋体"/>
      <w:szCs w:val="21"/>
      <w:lang w:val="zh-CN" w:bidi="zh-CN"/>
    </w:rPr>
  </w:style>
  <w:style w:type="paragraph" w:customStyle="1" w:styleId="225">
    <w:name w:val="首行缩进"/>
    <w:basedOn w:val="1"/>
    <w:qFormat/>
    <w:uiPriority w:val="0"/>
    <w:pPr>
      <w:ind w:firstLine="480"/>
    </w:pPr>
    <w:rPr>
      <w:szCs w:val="21"/>
      <w:lang w:val="zh-CN"/>
    </w:rPr>
  </w:style>
  <w:style w:type="paragraph" w:customStyle="1" w:styleId="226">
    <w:name w:val="Normal_18_0"/>
    <w:qFormat/>
    <w:uiPriority w:val="0"/>
    <w:rPr>
      <w:rFonts w:ascii="黑体" w:hAnsi="黑体" w:eastAsia="黑体" w:cs="黑体"/>
      <w:b/>
      <w:sz w:val="32"/>
      <w:szCs w:val="24"/>
      <w:lang w:val="en-US" w:eastAsia="zh-CN" w:bidi="ar-SA"/>
    </w:rPr>
  </w:style>
  <w:style w:type="paragraph" w:customStyle="1" w:styleId="227">
    <w:name w:val="正文_12_0_0_0_0"/>
    <w:basedOn w:val="1"/>
    <w:qFormat/>
    <w:uiPriority w:val="0"/>
  </w:style>
  <w:style w:type="paragraph" w:customStyle="1" w:styleId="228">
    <w:name w:val="正文_12_0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29">
    <w:name w:val="Normal_0"/>
    <w:qFormat/>
    <w:uiPriority w:val="0"/>
    <w:rPr>
      <w:rFonts w:ascii="黑体" w:hAnsi="黑体" w:eastAsia="黑体" w:cs="Times New Roman"/>
      <w:b/>
      <w:sz w:val="32"/>
      <w:szCs w:val="24"/>
      <w:lang w:val="en-US" w:eastAsia="zh-CN" w:bidi="ar-SA"/>
    </w:rPr>
  </w:style>
  <w:style w:type="paragraph" w:customStyle="1" w:styleId="23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31">
    <w:name w:val="UserStyle_0"/>
    <w:basedOn w:val="133"/>
    <w:qFormat/>
    <w:uiPriority w:val="0"/>
    <w:pPr>
      <w:widowControl/>
      <w:spacing w:after="120"/>
      <w:ind w:left="420" w:leftChars="200" w:firstLine="420"/>
      <w:jc w:val="left"/>
    </w:pPr>
    <w:rPr>
      <w:rFonts w:cs="Arial"/>
      <w:kern w:val="2"/>
      <w:sz w:val="21"/>
      <w:szCs w:val="20"/>
    </w:rPr>
  </w:style>
  <w:style w:type="paragraph" w:customStyle="1" w:styleId="232">
    <w:name w:val="Normal_20_1_0"/>
    <w:next w:val="233"/>
    <w:qFormat/>
    <w:uiPriority w:val="0"/>
    <w:pPr>
      <w:widowControl w:val="0"/>
      <w:jc w:val="both"/>
    </w:pPr>
    <w:rPr>
      <w:rFonts w:ascii="Calibri" w:hAnsi="Calibri" w:eastAsia="宋体" w:cs="Times New Roman"/>
      <w:sz w:val="21"/>
      <w:szCs w:val="22"/>
      <w:lang w:val="en-US" w:eastAsia="zh-CN" w:bidi="ar-SA"/>
    </w:rPr>
  </w:style>
  <w:style w:type="paragraph" w:customStyle="1" w:styleId="233">
    <w:name w:val="List Continue 2_0_0"/>
    <w:basedOn w:val="232"/>
    <w:next w:val="234"/>
    <w:qFormat/>
    <w:uiPriority w:val="0"/>
    <w:pPr>
      <w:spacing w:after="120"/>
      <w:ind w:left="840"/>
    </w:pPr>
  </w:style>
  <w:style w:type="paragraph" w:customStyle="1" w:styleId="234">
    <w:name w:val="TOC 4_0_0"/>
    <w:basedOn w:val="232"/>
    <w:next w:val="232"/>
    <w:qFormat/>
    <w:uiPriority w:val="0"/>
    <w:pPr>
      <w:ind w:left="630"/>
      <w:jc w:val="left"/>
    </w:pPr>
    <w:rPr>
      <w:rFonts w:cs="Calibri"/>
      <w:sz w:val="18"/>
      <w:szCs w:val="18"/>
    </w:rPr>
  </w:style>
  <w:style w:type="paragraph" w:customStyle="1" w:styleId="235">
    <w:name w:val="正文_0_1_0_1"/>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236">
    <w:name w:val="Normal_13"/>
    <w:qFormat/>
    <w:uiPriority w:val="0"/>
    <w:rPr>
      <w:rFonts w:ascii="黑体" w:hAnsi="黑体" w:eastAsia="黑体" w:cs="Times New Roman"/>
      <w:b/>
      <w:sz w:val="32"/>
      <w:szCs w:val="24"/>
      <w:lang w:val="en-US" w:eastAsia="zh-CN" w:bidi="ar-SA"/>
    </w:rPr>
  </w:style>
  <w:style w:type="paragraph" w:customStyle="1" w:styleId="237">
    <w:name w:val="批注文字1"/>
    <w:basedOn w:val="1"/>
    <w:semiHidden/>
    <w:qFormat/>
    <w:uiPriority w:val="0"/>
    <w:pPr>
      <w:jc w:val="left"/>
    </w:pPr>
    <w:rPr>
      <w:szCs w:val="21"/>
    </w:rPr>
  </w:style>
  <w:style w:type="paragraph" w:customStyle="1" w:styleId="238">
    <w:name w:val="纯文本1"/>
    <w:basedOn w:val="1"/>
    <w:qFormat/>
    <w:uiPriority w:val="0"/>
    <w:rPr>
      <w:rFonts w:ascii="宋体" w:hAnsi="Courier New" w:cs="Courier New"/>
      <w:szCs w:val="21"/>
    </w:rPr>
  </w:style>
  <w:style w:type="paragraph" w:customStyle="1" w:styleId="239">
    <w:name w:val="正文文本缩进_0"/>
    <w:basedOn w:val="82"/>
    <w:qFormat/>
    <w:uiPriority w:val="0"/>
    <w:pPr>
      <w:ind w:firstLine="225"/>
    </w:pPr>
    <w:rPr>
      <w:rFonts w:ascii="仿宋_GB2312" w:hAnsi="Calibri" w:eastAsia="仿宋_GB2312"/>
      <w:sz w:val="32"/>
      <w:szCs w:val="22"/>
    </w:rPr>
  </w:style>
  <w:style w:type="paragraph" w:customStyle="1" w:styleId="240">
    <w:name w:val="Normal_19_0"/>
    <w:next w:val="241"/>
    <w:qFormat/>
    <w:uiPriority w:val="0"/>
    <w:pPr>
      <w:widowControl w:val="0"/>
      <w:jc w:val="both"/>
    </w:pPr>
    <w:rPr>
      <w:rFonts w:ascii="Times New Roman" w:hAnsi="Times New Roman" w:eastAsia="宋体" w:cs="Times New Roman"/>
      <w:lang w:val="en-US" w:eastAsia="zh-CN" w:bidi="ar-SA"/>
    </w:rPr>
  </w:style>
  <w:style w:type="paragraph" w:customStyle="1" w:styleId="241">
    <w:name w:val="Heading 4_0_0"/>
    <w:basedOn w:val="240"/>
    <w:next w:val="242"/>
    <w:qFormat/>
    <w:uiPriority w:val="0"/>
    <w:pPr>
      <w:keepNext/>
      <w:keepLines/>
      <w:tabs>
        <w:tab w:val="left" w:pos="1134"/>
        <w:tab w:val="right" w:pos="7371"/>
      </w:tabs>
      <w:overflowPunct w:val="0"/>
      <w:autoSpaceDE w:val="0"/>
      <w:autoSpaceDN w:val="0"/>
      <w:adjustRightInd w:val="0"/>
      <w:snapToGrid w:val="0"/>
      <w:spacing w:line="360" w:lineRule="auto"/>
      <w:textAlignment w:val="baseline"/>
      <w:outlineLvl w:val="3"/>
    </w:pPr>
    <w:rPr>
      <w:rFonts w:ascii="宋体"/>
      <w:color w:val="800000"/>
      <w:sz w:val="28"/>
    </w:rPr>
  </w:style>
  <w:style w:type="paragraph" w:customStyle="1" w:styleId="242">
    <w:name w:val="Normal Indent_1"/>
    <w:basedOn w:val="240"/>
    <w:qFormat/>
    <w:uiPriority w:val="0"/>
    <w:pPr>
      <w:autoSpaceDE w:val="0"/>
      <w:autoSpaceDN w:val="0"/>
      <w:adjustRightInd w:val="0"/>
      <w:snapToGrid w:val="0"/>
      <w:ind w:firstLine="420"/>
    </w:pPr>
    <w:rPr>
      <w:rFonts w:ascii="宋体"/>
      <w:color w:val="000000"/>
      <w:sz w:val="24"/>
    </w:rPr>
  </w:style>
  <w:style w:type="paragraph" w:customStyle="1" w:styleId="243">
    <w:name w:val="Block Text_0"/>
    <w:basedOn w:val="148"/>
    <w:unhideWhenUsed/>
    <w:qFormat/>
    <w:uiPriority w:val="99"/>
    <w:pPr>
      <w:widowControl w:val="0"/>
      <w:spacing w:after="120"/>
      <w:ind w:left="1440" w:leftChars="700" w:right="1440" w:rightChars="700"/>
      <w:jc w:val="both"/>
    </w:pPr>
    <w:rPr>
      <w:rFonts w:ascii="Calibri" w:hAnsi="Calibri" w:eastAsia="宋体"/>
      <w:b w:val="0"/>
      <w:kern w:val="2"/>
      <w:sz w:val="21"/>
      <w:szCs w:val="22"/>
    </w:rPr>
  </w:style>
  <w:style w:type="paragraph" w:customStyle="1" w:styleId="244">
    <w:name w:val="Normal_19_0_0"/>
    <w:qFormat/>
    <w:uiPriority w:val="0"/>
    <w:pPr>
      <w:widowControl w:val="0"/>
      <w:jc w:val="both"/>
    </w:pPr>
    <w:rPr>
      <w:rFonts w:ascii="Calibri" w:hAnsi="Calibri" w:eastAsia="宋体" w:cs="Times New Roman"/>
      <w:lang w:val="en-US" w:eastAsia="zh-CN" w:bidi="ar-SA"/>
    </w:rPr>
  </w:style>
  <w:style w:type="character" w:customStyle="1" w:styleId="245">
    <w:name w:val="font11"/>
    <w:basedOn w:val="51"/>
    <w:qFormat/>
    <w:uiPriority w:val="0"/>
    <w:rPr>
      <w:rFonts w:hint="eastAsia" w:ascii="宋体" w:hAnsi="宋体" w:eastAsia="宋体" w:cs="宋体"/>
      <w:b/>
      <w:bCs/>
      <w:color w:val="000000"/>
      <w:sz w:val="24"/>
      <w:szCs w:val="24"/>
      <w:u w:val="none"/>
    </w:rPr>
  </w:style>
  <w:style w:type="character" w:customStyle="1" w:styleId="246">
    <w:name w:val="font21"/>
    <w:basedOn w:val="51"/>
    <w:qFormat/>
    <w:uiPriority w:val="0"/>
    <w:rPr>
      <w:rFonts w:hint="eastAsia" w:ascii="宋体" w:hAnsi="宋体" w:eastAsia="宋体" w:cs="宋体"/>
      <w:color w:val="000000"/>
      <w:sz w:val="24"/>
      <w:szCs w:val="24"/>
      <w:u w:val="none"/>
    </w:rPr>
  </w:style>
  <w:style w:type="paragraph" w:customStyle="1" w:styleId="247">
    <w:name w:val="Normal_20_0_0"/>
    <w:qFormat/>
    <w:uiPriority w:val="0"/>
    <w:rPr>
      <w:rFonts w:ascii="Times New Roman" w:hAnsi="Times New Roman" w:eastAsia="Times New Roman" w:cs="Times New Roman"/>
      <w:sz w:val="24"/>
      <w:szCs w:val="24"/>
      <w:lang w:val="en-US" w:eastAsia="zh-CN" w:bidi="ar-SA"/>
    </w:rPr>
  </w:style>
  <w:style w:type="paragraph" w:customStyle="1" w:styleId="248">
    <w:name w:val="标题 2_1"/>
    <w:basedOn w:val="101"/>
    <w:next w:val="101"/>
    <w:qFormat/>
    <w:uiPriority w:val="0"/>
    <w:pPr>
      <w:keepNext/>
      <w:keepLines/>
      <w:spacing w:before="260" w:after="260" w:line="413" w:lineRule="auto"/>
      <w:outlineLvl w:val="1"/>
    </w:pPr>
    <w:rPr>
      <w:rFonts w:ascii="Arial" w:hAnsi="Arial" w:eastAsia="黑体"/>
      <w:b/>
      <w:kern w:val="0"/>
      <w:sz w:val="32"/>
      <w:szCs w:val="20"/>
    </w:rPr>
  </w:style>
  <w:style w:type="paragraph" w:customStyle="1" w:styleId="249">
    <w:name w:val="正文_0_1_1"/>
    <w:qFormat/>
    <w:uiPriority w:val="0"/>
    <w:pPr>
      <w:widowControl w:val="0"/>
      <w:jc w:val="both"/>
    </w:pPr>
    <w:rPr>
      <w:rFonts w:ascii="Times New Roman" w:hAnsi="Times New Roman" w:eastAsia="宋体" w:cs="Times New Roman"/>
      <w:sz w:val="21"/>
      <w:szCs w:val="24"/>
      <w:lang w:val="en-US" w:eastAsia="zh-CN" w:bidi="ar-SA"/>
    </w:rPr>
  </w:style>
  <w:style w:type="table" w:customStyle="1" w:styleId="250">
    <w:name w:val="网格型_1"/>
    <w:basedOn w:val="251"/>
    <w:qFormat/>
    <w:uiPriority w:val="0"/>
    <w:rPr>
      <w:rFonts w:ascii="Calibri" w:hAnsi="Calibri"/>
    </w:rPr>
  </w:style>
  <w:style w:type="table" w:customStyle="1" w:styleId="251">
    <w:name w:val="普通表格1"/>
    <w:unhideWhenUsed/>
    <w:qFormat/>
    <w:uiPriority w:val="99"/>
    <w:tblPr>
      <w:tblCellMar>
        <w:top w:w="0" w:type="dxa"/>
        <w:left w:w="0" w:type="dxa"/>
        <w:bottom w:w="0" w:type="dxa"/>
        <w:right w:w="0" w:type="dxa"/>
      </w:tblCellMar>
    </w:tblPr>
  </w:style>
  <w:style w:type="paragraph" w:customStyle="1" w:styleId="252">
    <w:name w:val="正文_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5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4">
    <w:name w:val="Normal_20_1"/>
    <w:next w:val="25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5">
    <w:name w:val="List Continue 2_0"/>
    <w:basedOn w:val="254"/>
    <w:next w:val="256"/>
    <w:qFormat/>
    <w:uiPriority w:val="0"/>
    <w:pPr>
      <w:spacing w:after="120"/>
      <w:ind w:left="840" w:leftChars="400"/>
    </w:pPr>
  </w:style>
  <w:style w:type="paragraph" w:customStyle="1" w:styleId="256">
    <w:name w:val="TOC 4_0"/>
    <w:basedOn w:val="254"/>
    <w:next w:val="254"/>
    <w:qFormat/>
    <w:uiPriority w:val="0"/>
    <w:pPr>
      <w:ind w:left="630"/>
      <w:jc w:val="left"/>
    </w:pPr>
    <w:rPr>
      <w:rFonts w:cs="Calibri"/>
      <w:sz w:val="18"/>
      <w:szCs w:val="18"/>
    </w:rPr>
  </w:style>
  <w:style w:type="paragraph" w:customStyle="1" w:styleId="257">
    <w:name w:val="正文_0_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8241</Words>
  <Characters>8441</Characters>
  <Lines>38</Lines>
  <Paragraphs>65</Paragraphs>
  <TotalTime>139</TotalTime>
  <ScaleCrop>false</ScaleCrop>
  <LinksUpToDate>false</LinksUpToDate>
  <CharactersWithSpaces>8627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2024-12-16T03:13:00Z</dcterms:created>
  <dc:creator>Administrator</dc:creator>
  <cp:lastModifiedBy>毛贵香</cp:lastModifiedBy>
  <cp:lastPrinted>2021-07-21T02:22:00Z</cp:lastPrinted>
  <dcterms:modified xsi:type="dcterms:W3CDTF">2025-01-03T04:14:38Z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F6ECF329CAB744FDAA4914769983F40A_13</vt:lpwstr>
  </property>
  <property fmtid="{D5CDD505-2E9C-101B-9397-08002B2CF9AE}" pid="4" name="KSOTemplateDocerSaveRecord">
    <vt:lpwstr>eyJoZGlkIjoiZWE3OTVjOWE5YzY4YzAxMDgxN2Q0NTE2YjdkZTAwZGUiLCJ1c2VySWQiOiIzMjE4MTA0NjkifQ==</vt:lpwstr>
  </property>
</Properties>
</file>